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5"/>
        <w:gridCol w:w="3394"/>
        <w:gridCol w:w="3405"/>
      </w:tblGrid>
      <w:tr w:rsidR="00B21C18" w:rsidRPr="00C00734" w14:paraId="5EF0989E" w14:textId="77777777" w:rsidTr="005754D5">
        <w:trPr>
          <w:trHeight w:val="340"/>
        </w:trPr>
        <w:tc>
          <w:tcPr>
            <w:tcW w:w="3473" w:type="dxa"/>
          </w:tcPr>
          <w:p w14:paraId="2C6EAE6B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2D261484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EDD708" w14:textId="77777777" w:rsidR="00B21C18" w:rsidRPr="00C00734" w:rsidRDefault="00B21C18" w:rsidP="00C007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75F27E5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288A5BCD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:rsidRPr="00C00734" w14:paraId="66339730" w14:textId="77777777" w:rsidTr="005754D5">
        <w:trPr>
          <w:trHeight w:val="340"/>
        </w:trPr>
        <w:tc>
          <w:tcPr>
            <w:tcW w:w="3473" w:type="dxa"/>
          </w:tcPr>
          <w:p w14:paraId="4F1BDABC" w14:textId="6519BFBF" w:rsidR="006D6C75" w:rsidRPr="00C00734" w:rsidRDefault="00B767DC" w:rsidP="006D6C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Ada Ślusarczyk</w:t>
            </w:r>
          </w:p>
          <w:p w14:paraId="7AA3495E" w14:textId="66E80597" w:rsidR="00B21C18" w:rsidRPr="00C00734" w:rsidRDefault="0074250D" w:rsidP="006D6C7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Specjalista ds. </w:t>
            </w:r>
            <w:r w:rsidR="00B767DC">
              <w:rPr>
                <w:rFonts w:cstheme="minorHAnsi"/>
                <w:sz w:val="18"/>
                <w:szCs w:val="18"/>
              </w:rPr>
              <w:t>Jakości i Badań</w:t>
            </w:r>
          </w:p>
        </w:tc>
        <w:tc>
          <w:tcPr>
            <w:tcW w:w="3473" w:type="dxa"/>
          </w:tcPr>
          <w:p w14:paraId="65428AA4" w14:textId="0F7FEB5B" w:rsidR="003B7F79" w:rsidRDefault="00B767DC" w:rsidP="003B7F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44CD9A35" w14:textId="46C58785" w:rsidR="0074250D" w:rsidRPr="00C00734" w:rsidRDefault="00B767DC" w:rsidP="007425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4" w:type="dxa"/>
          </w:tcPr>
          <w:p w14:paraId="1EA1BAEC" w14:textId="77777777" w:rsidR="00B21C18" w:rsidRPr="00C00734" w:rsidRDefault="003B7F79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D8CB724" w14:textId="77777777" w:rsidR="00B21C18" w:rsidRDefault="003B7F79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Zapewnienia Jakości</w:t>
            </w:r>
            <w:r w:rsidR="008E133A">
              <w:rPr>
                <w:rFonts w:cstheme="minorHAnsi"/>
                <w:sz w:val="18"/>
                <w:szCs w:val="18"/>
              </w:rPr>
              <w:t>/</w:t>
            </w:r>
          </w:p>
          <w:p w14:paraId="5A5ABDE3" w14:textId="77777777" w:rsidR="008E133A" w:rsidRPr="00C00734" w:rsidRDefault="008E133A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133A">
              <w:rPr>
                <w:rFonts w:cstheme="minorHAnsi"/>
                <w:sz w:val="18"/>
                <w:szCs w:val="18"/>
              </w:rPr>
              <w:t>Pełnomocnik Zarządu ds. Zintegrowanego Systemu Zarządzania</w:t>
            </w:r>
          </w:p>
        </w:tc>
      </w:tr>
    </w:tbl>
    <w:p w14:paraId="643BF197" w14:textId="77777777" w:rsidR="00B21C18" w:rsidRPr="00C00734" w:rsidRDefault="00B21C18" w:rsidP="00B21C18">
      <w:pPr>
        <w:spacing w:after="0" w:line="240" w:lineRule="auto"/>
        <w:rPr>
          <w:rFonts w:cstheme="minorHAnsi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C00734" w14:paraId="29C8819B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FEF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B1B" w14:textId="220B6D21" w:rsidR="00AC4867" w:rsidRPr="00630E48" w:rsidRDefault="00036914" w:rsidP="008D6B2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Celem procedury jest określenie zasad i metod prowadzenia audytów wewnę</w:t>
            </w:r>
            <w:r w:rsidR="0050621F">
              <w:rPr>
                <w:rFonts w:cstheme="minorHAnsi"/>
                <w:sz w:val="20"/>
              </w:rPr>
              <w:t>trznych w Hilding Anders Polska.</w:t>
            </w:r>
          </w:p>
        </w:tc>
      </w:tr>
      <w:tr w:rsidR="00AC4867" w:rsidRPr="00C00734" w14:paraId="5F2CF664" w14:textId="77777777" w:rsidTr="00872714">
        <w:trPr>
          <w:trHeight w:val="433"/>
          <w:jc w:val="center"/>
        </w:trPr>
        <w:tc>
          <w:tcPr>
            <w:tcW w:w="2376" w:type="dxa"/>
          </w:tcPr>
          <w:p w14:paraId="0C20E876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14:paraId="65829F7A" w14:textId="77777777" w:rsidR="00AC4867" w:rsidRPr="00630E48" w:rsidRDefault="008D6B23" w:rsidP="00AC4867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Wszystkie działy Hilding Anders Polska.</w:t>
            </w:r>
          </w:p>
        </w:tc>
      </w:tr>
      <w:tr w:rsidR="00AC4867" w:rsidRPr="00C00734" w14:paraId="796F5D9A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D2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</w:rPr>
              <w:br w:type="page"/>
            </w:r>
            <w:r w:rsidRPr="00C00734"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1EC" w14:textId="77777777" w:rsidR="008E133A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Plant Manager odpowiada za:</w:t>
            </w:r>
          </w:p>
          <w:p w14:paraId="0870CC0A" w14:textId="77777777" w:rsidR="008E133A" w:rsidRPr="008E133A" w:rsidRDefault="008E133A" w:rsidP="008E13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Zatwierdza Harmonogram audytów wewnętrznych</w:t>
            </w:r>
          </w:p>
          <w:p w14:paraId="6A50630A" w14:textId="77777777" w:rsidR="008E133A" w:rsidRPr="00630E48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Pełnomocnik / </w:t>
            </w:r>
            <w:r w:rsidRPr="008E133A">
              <w:rPr>
                <w:rFonts w:cstheme="minorHAnsi"/>
                <w:sz w:val="20"/>
              </w:rPr>
              <w:t xml:space="preserve">Kierownik Działu Zapewnienia Jakości </w:t>
            </w:r>
            <w:r w:rsidR="001476C9" w:rsidRPr="00630E48">
              <w:rPr>
                <w:rFonts w:cstheme="minorHAnsi"/>
                <w:sz w:val="20"/>
              </w:rPr>
              <w:t>odpowiada za:</w:t>
            </w:r>
          </w:p>
          <w:p w14:paraId="28F45472" w14:textId="77777777" w:rsidR="001476C9" w:rsidRPr="00630E48" w:rsidRDefault="001476C9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wyzn</w:t>
            </w:r>
            <w:r w:rsidR="00112B23" w:rsidRPr="00630E48">
              <w:rPr>
                <w:rFonts w:cstheme="minorHAnsi"/>
                <w:sz w:val="20"/>
              </w:rPr>
              <w:t>aczenie odpowiedniej liczby audi</w:t>
            </w:r>
            <w:r w:rsidRPr="00630E48">
              <w:rPr>
                <w:rFonts w:cstheme="minorHAnsi"/>
                <w:sz w:val="20"/>
              </w:rPr>
              <w:t>torów wewnętrznych i zapewnienie im</w:t>
            </w:r>
          </w:p>
          <w:p w14:paraId="40585CC6" w14:textId="77777777" w:rsidR="001476C9" w:rsidRPr="00630E48" w:rsidRDefault="00E130F3" w:rsidP="001476C9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odpowiednich kwalifikacji;</w:t>
            </w:r>
          </w:p>
          <w:p w14:paraId="18EBFD16" w14:textId="77777777" w:rsidR="001476C9" w:rsidRPr="00630E48" w:rsidRDefault="00112B23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planowanie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 i nadzór nad ich wykonaniem</w:t>
            </w:r>
            <w:r w:rsidR="00E22622" w:rsidRPr="00630E48">
              <w:rPr>
                <w:rFonts w:cstheme="minorHAnsi"/>
                <w:sz w:val="20"/>
              </w:rPr>
              <w:t>,</w:t>
            </w:r>
          </w:p>
          <w:p w14:paraId="3058F0B6" w14:textId="77777777" w:rsidR="00952D6F" w:rsidRPr="00630E48" w:rsidRDefault="00112B23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analizę wyników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</w:t>
            </w:r>
            <w:r w:rsidR="00CF14A8" w:rsidRPr="00630E48">
              <w:rPr>
                <w:rFonts w:cstheme="minorHAnsi"/>
                <w:sz w:val="20"/>
              </w:rPr>
              <w:t>,</w:t>
            </w:r>
            <w:r w:rsidR="001476C9" w:rsidRPr="00630E48">
              <w:rPr>
                <w:rFonts w:cstheme="minorHAnsi"/>
                <w:sz w:val="20"/>
              </w:rPr>
              <w:t xml:space="preserve"> decydowanie </w:t>
            </w:r>
            <w:r w:rsidR="00CF14A8" w:rsidRPr="00630E48">
              <w:rPr>
                <w:rFonts w:cstheme="minorHAnsi"/>
                <w:sz w:val="20"/>
              </w:rPr>
              <w:t>w sprawach działań korygujących.</w:t>
            </w:r>
          </w:p>
          <w:p w14:paraId="5F17470A" w14:textId="77777777" w:rsidR="00CF14A8" w:rsidRPr="00630E48" w:rsidRDefault="00CF14A8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ocenę skuteczności działań po-audytowych.</w:t>
            </w:r>
          </w:p>
          <w:p w14:paraId="1B0D2B11" w14:textId="77777777" w:rsidR="00E22622" w:rsidRPr="00630E48" w:rsidRDefault="00112B23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torzy wewnętrzni są odpowiedzialni za:</w:t>
            </w:r>
          </w:p>
          <w:p w14:paraId="6339FC3F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wykonywanie powierzonych </w:t>
            </w:r>
            <w:r w:rsidR="00CF14A8" w:rsidRPr="00630E48">
              <w:rPr>
                <w:rFonts w:cstheme="minorHAnsi"/>
                <w:sz w:val="20"/>
              </w:rPr>
              <w:t>zadań audytowych.</w:t>
            </w:r>
          </w:p>
          <w:p w14:paraId="428EEB42" w14:textId="77777777" w:rsidR="00E22622" w:rsidRPr="00630E48" w:rsidRDefault="00112B23" w:rsidP="00CF14A8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towani</w:t>
            </w:r>
            <w:proofErr w:type="spellEnd"/>
            <w:r w:rsidR="00E22622" w:rsidRPr="00630E48">
              <w:rPr>
                <w:rFonts w:cstheme="minorHAnsi"/>
                <w:sz w:val="20"/>
              </w:rPr>
              <w:t xml:space="preserve"> - odpowiedzialni są za:</w:t>
            </w:r>
          </w:p>
          <w:p w14:paraId="7FE40BCE" w14:textId="77777777" w:rsidR="00E22622" w:rsidRPr="00630E48" w:rsidRDefault="00112B23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udostępnienie audi</w:t>
            </w:r>
            <w:r w:rsidR="00E22622" w:rsidRPr="00630E48">
              <w:rPr>
                <w:rFonts w:cstheme="minorHAnsi"/>
                <w:sz w:val="20"/>
              </w:rPr>
              <w:t>torom żądanych dowodów spełnienia wymagań,</w:t>
            </w:r>
          </w:p>
          <w:p w14:paraId="6AA5CCF4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usuwanie stwierdzonych niezgodności,</w:t>
            </w:r>
          </w:p>
          <w:p w14:paraId="75B494DD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badanie przyczyn stwierdzonych niezgodności, planowanie i realizacja działań</w:t>
            </w:r>
          </w:p>
          <w:p w14:paraId="2BBFD587" w14:textId="77777777" w:rsidR="00E22622" w:rsidRPr="00630E48" w:rsidRDefault="00E22622" w:rsidP="00E22622">
            <w:pPr>
              <w:pStyle w:val="Akapitzlist"/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korygujących.</w:t>
            </w:r>
          </w:p>
        </w:tc>
      </w:tr>
      <w:tr w:rsidR="00AC4867" w:rsidRPr="00C00734" w14:paraId="52C3415E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AD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0E5" w14:textId="29074D71" w:rsidR="00E40C2C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Audyt wewnętrzny – </w:t>
            </w:r>
            <w:r w:rsidR="00E40C2C" w:rsidRPr="00630E48">
              <w:rPr>
                <w:rFonts w:cstheme="minorHAnsi"/>
                <w:sz w:val="20"/>
              </w:rPr>
              <w:t>jest podstawowym narzędziem badania zgodności, skuteczności i doskonalenia zintegrowanego systemu zarządzania opartego na wymaganiach norm ISO</w:t>
            </w:r>
            <w:r w:rsidR="002308CF">
              <w:rPr>
                <w:rFonts w:cstheme="minorHAnsi"/>
                <w:sz w:val="20"/>
              </w:rPr>
              <w:t xml:space="preserve"> oraz pozostałych wymagań obowiązujących w firmie</w:t>
            </w:r>
            <w:r w:rsidR="00E40C2C" w:rsidRPr="00630E48">
              <w:rPr>
                <w:rFonts w:cstheme="minorHAnsi"/>
                <w:sz w:val="20"/>
              </w:rPr>
              <w:t>.</w:t>
            </w:r>
          </w:p>
          <w:p w14:paraId="5E29570F" w14:textId="77777777" w:rsidR="00A414A7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Dowód obiektywny – </w:t>
            </w:r>
            <w:r w:rsidR="000251E6" w:rsidRPr="00630E48">
              <w:rPr>
                <w:rFonts w:cstheme="minorHAnsi"/>
                <w:sz w:val="20"/>
              </w:rPr>
              <w:t>informacja, której prawdziwość można wykazać na podstawie fakt</w:t>
            </w:r>
            <w:r w:rsidRPr="00630E48">
              <w:rPr>
                <w:rFonts w:cstheme="minorHAnsi"/>
                <w:sz w:val="20"/>
              </w:rPr>
              <w:t>ów uzyskana w wyniku obserwacji, pomiaru, badania</w:t>
            </w:r>
            <w:r w:rsidR="000251E6" w:rsidRPr="00630E48">
              <w:rPr>
                <w:rFonts w:cstheme="minorHAnsi"/>
                <w:sz w:val="20"/>
              </w:rPr>
              <w:t>, lub w   inny sposób.</w:t>
            </w:r>
          </w:p>
          <w:p w14:paraId="72FDBA6E" w14:textId="77777777" w:rsidR="000251E6" w:rsidRPr="00630E48" w:rsidRDefault="000251E6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Niezgodnoś</w:t>
            </w:r>
            <w:r w:rsidR="00CF14A8" w:rsidRPr="00630E48">
              <w:rPr>
                <w:rFonts w:cstheme="minorHAnsi"/>
                <w:sz w:val="20"/>
              </w:rPr>
              <w:t xml:space="preserve">ć – niespełnienie </w:t>
            </w:r>
            <w:r w:rsidRPr="00630E48">
              <w:rPr>
                <w:rFonts w:cstheme="minorHAnsi"/>
                <w:sz w:val="20"/>
              </w:rPr>
              <w:t xml:space="preserve"> wymagania</w:t>
            </w:r>
            <w:r w:rsidR="00CF14A8" w:rsidRPr="00630E48">
              <w:rPr>
                <w:rFonts w:cstheme="minorHAnsi"/>
                <w:sz w:val="20"/>
              </w:rPr>
              <w:t>.</w:t>
            </w:r>
          </w:p>
          <w:p w14:paraId="0AE601F4" w14:textId="77777777" w:rsidR="00112B23" w:rsidRDefault="00112B23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K.O. – komórka organizacyjna</w:t>
            </w:r>
          </w:p>
          <w:p w14:paraId="34E5A803" w14:textId="77777777" w:rsid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CMSS – program pozyskiwania bawełny ze zrównoważonych źródeł</w:t>
            </w:r>
          </w:p>
          <w:p w14:paraId="696B41AC" w14:textId="77777777" w:rsidR="0050621F" w:rsidRP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GO/NOGO – wymagania IKEA dotyczące zgodności procesów specjalnych.</w:t>
            </w:r>
          </w:p>
        </w:tc>
      </w:tr>
      <w:tr w:rsidR="00AC4867" w:rsidRPr="00C00734" w14:paraId="41333263" w14:textId="77777777" w:rsidTr="00455B53">
        <w:trPr>
          <w:trHeight w:val="8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27AFA3D8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Dokumenty powiązane: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182D5024" w14:textId="77777777" w:rsidR="00AC4867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S01_P07_I01 </w:t>
            </w:r>
            <w:r w:rsidR="003B7F79">
              <w:rPr>
                <w:rFonts w:cstheme="minorHAnsi"/>
                <w:sz w:val="20"/>
              </w:rPr>
              <w:t>– Audyty IWAY</w:t>
            </w:r>
          </w:p>
          <w:p w14:paraId="1D68312C" w14:textId="77777777" w:rsidR="003B7F79" w:rsidRPr="00630E48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S01_P07_I03 </w:t>
            </w:r>
            <w:r w:rsidR="003B7F79" w:rsidRPr="00630E48">
              <w:rPr>
                <w:rFonts w:cstheme="minorHAnsi"/>
                <w:sz w:val="20"/>
              </w:rPr>
              <w:t>–</w:t>
            </w:r>
            <w:r w:rsidR="003B7F79">
              <w:rPr>
                <w:rFonts w:cstheme="minorHAnsi"/>
                <w:sz w:val="20"/>
              </w:rPr>
              <w:t xml:space="preserve"> Audyty </w:t>
            </w:r>
            <w:r w:rsidR="003B7F79" w:rsidRPr="00630E48">
              <w:rPr>
                <w:rFonts w:cstheme="minorHAnsi"/>
                <w:sz w:val="20"/>
              </w:rPr>
              <w:t>5S</w:t>
            </w:r>
          </w:p>
        </w:tc>
      </w:tr>
      <w:tr w:rsidR="00364039" w:rsidRPr="00C00734" w14:paraId="250A0137" w14:textId="77777777" w:rsidTr="00AC4867">
        <w:trPr>
          <w:trHeight w:val="12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6420CBCA" w14:textId="77777777" w:rsidR="00364039" w:rsidRPr="00C00734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5936FDB1" w14:textId="77777777" w:rsidR="00364039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Harmonogram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tów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</w:t>
            </w:r>
          </w:p>
          <w:p w14:paraId="2DAF4C10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Kwestionariusz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tu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wewnętrznego</w:t>
            </w:r>
          </w:p>
          <w:p w14:paraId="3905D6B5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_F02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Raport 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3A6AE5" w:rsidRPr="00630E48">
              <w:rPr>
                <w:rFonts w:cstheme="minorHAnsi"/>
                <w:sz w:val="20"/>
              </w:rPr>
              <w:t>tu</w:t>
            </w:r>
            <w:proofErr w:type="spellEnd"/>
            <w:r w:rsidR="003A6AE5" w:rsidRPr="00630E48">
              <w:rPr>
                <w:rFonts w:cstheme="minorHAnsi"/>
                <w:sz w:val="20"/>
              </w:rPr>
              <w:t xml:space="preserve"> wewnętrznego</w:t>
            </w:r>
          </w:p>
          <w:p w14:paraId="203E331D" w14:textId="259FDC89" w:rsidR="003D6A6E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_Z02</w:t>
            </w:r>
            <w:r w:rsidR="00112B23" w:rsidRPr="00630E48">
              <w:rPr>
                <w:rFonts w:cstheme="minorHAnsi"/>
                <w:sz w:val="20"/>
              </w:rPr>
              <w:t xml:space="preserve"> - Lista audi</w:t>
            </w:r>
            <w:r w:rsidR="003E3597" w:rsidRPr="00630E48">
              <w:rPr>
                <w:rFonts w:cstheme="minorHAnsi"/>
                <w:sz w:val="20"/>
              </w:rPr>
              <w:t>torów wewnętrznych</w:t>
            </w:r>
          </w:p>
          <w:p w14:paraId="00DC2CB8" w14:textId="76EF8FFD" w:rsidR="00457173" w:rsidRDefault="00457173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S01_P07_F04v1 - Raport 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  <w:p w14:paraId="300AAFE0" w14:textId="3E245D94" w:rsidR="00457173" w:rsidRPr="00457173" w:rsidRDefault="00457173" w:rsidP="004571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S01_P07_F05v1 - Kwestionariusz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</w:tc>
      </w:tr>
      <w:tr w:rsidR="00557588" w:rsidRPr="00C00734" w14:paraId="44654CAF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0BDD507C" w14:textId="77777777" w:rsidR="00557588" w:rsidRPr="00630E48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:rsidRPr="00C00734" w14:paraId="3EECE070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630E48" w14:paraId="7646A15B" w14:textId="77777777" w:rsidTr="005754D5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BB2C8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630E48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630E48" w14:paraId="7207AF05" w14:textId="77777777" w:rsidTr="005754D5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2642" w14:textId="77777777" w:rsidR="00557588" w:rsidRPr="00630E48" w:rsidRDefault="009E372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Nr 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71BF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Data 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14F9B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Opis zmiany</w:t>
                  </w:r>
                </w:p>
              </w:tc>
            </w:tr>
            <w:tr w:rsidR="00557588" w:rsidRPr="00630E48" w14:paraId="0B3F49E8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381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C6EB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2020-06-02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EEE0D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numeracji</w:t>
                  </w:r>
                </w:p>
              </w:tc>
            </w:tr>
            <w:tr w:rsidR="00557588" w:rsidRPr="00630E48" w14:paraId="6654086B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1350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A93A" w14:textId="7EA0DB79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2021-06-15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BC48" w14:textId="22EA953D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Doprecyzowanie terminu sporządzenia raportu</w:t>
                  </w:r>
                  <w:r w:rsidR="009179B1">
                    <w:rPr>
                      <w:rFonts w:cstheme="minorHAnsi"/>
                      <w:sz w:val="20"/>
                      <w:szCs w:val="20"/>
                    </w:rPr>
                    <w:t xml:space="preserve"> w pkt 8.</w:t>
                  </w:r>
                </w:p>
              </w:tc>
            </w:tr>
            <w:tr w:rsidR="00557588" w:rsidRPr="00630E48" w14:paraId="489D192C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3F126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1773" w14:textId="62F09B3A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2021-12-1</w:t>
                  </w:r>
                  <w:r w:rsidR="0045717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B45AE" w14:textId="322F747C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Dodanie zapisu o przeprowadzaniu audytów dokumentacji / Specyfikacji IKEA</w:t>
                  </w:r>
                </w:p>
              </w:tc>
            </w:tr>
            <w:tr w:rsidR="00557588" w:rsidRPr="00630E48" w14:paraId="72477E09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9B94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lastRenderedPageBreak/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5A7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C342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630E48" w14:paraId="51D1F7EF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0EEA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F35D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EDC9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F216356" w14:textId="77777777" w:rsidR="00557588" w:rsidRPr="00630E48" w:rsidRDefault="00557588" w:rsidP="00AC4867">
            <w:pPr>
              <w:spacing w:line="240" w:lineRule="auto"/>
              <w:rPr>
                <w:rFonts w:cstheme="minorHAnsi"/>
              </w:rPr>
            </w:pPr>
          </w:p>
        </w:tc>
      </w:tr>
    </w:tbl>
    <w:p w14:paraId="211FA86E" w14:textId="77777777" w:rsidR="00F46589" w:rsidRPr="007D28AB" w:rsidRDefault="00CF14A8" w:rsidP="00455B53">
      <w:pPr>
        <w:spacing w:after="0"/>
        <w:rPr>
          <w:rFonts w:cstheme="minorHAnsi"/>
        </w:rPr>
      </w:pPr>
      <w:r w:rsidRPr="007D28AB">
        <w:rPr>
          <w:rFonts w:cstheme="minorHAnsi"/>
        </w:rPr>
        <w:lastRenderedPageBreak/>
        <w:t>Sposób postępowania:</w:t>
      </w:r>
    </w:p>
    <w:p w14:paraId="568D4CA4" w14:textId="77777777" w:rsidR="00CF14A8" w:rsidRPr="007D28AB" w:rsidRDefault="00CF14A8" w:rsidP="00455B53">
      <w:pPr>
        <w:spacing w:after="0"/>
        <w:rPr>
          <w:rFonts w:cstheme="minorHAnsi"/>
        </w:rPr>
      </w:pPr>
    </w:p>
    <w:p w14:paraId="05C210C4" w14:textId="77777777" w:rsidR="00F1596F" w:rsidRPr="007D28AB" w:rsidRDefault="00F1596F" w:rsidP="00A1299F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7D28AB">
        <w:rPr>
          <w:rFonts w:cstheme="minorHAnsi"/>
        </w:rPr>
        <w:t xml:space="preserve">Opracowanie i zatwierdzenie </w:t>
      </w:r>
      <w:r w:rsidRPr="007D28AB">
        <w:rPr>
          <w:rFonts w:cstheme="minorHAnsi"/>
          <w:i/>
        </w:rPr>
        <w:t xml:space="preserve">Harmonogramu </w:t>
      </w:r>
      <w:proofErr w:type="spellStart"/>
      <w:r w:rsidRPr="007D28AB">
        <w:rPr>
          <w:rFonts w:cstheme="minorHAnsi"/>
          <w:i/>
        </w:rPr>
        <w:t>aud</w:t>
      </w:r>
      <w:r w:rsidR="00C00734" w:rsidRPr="007D28AB">
        <w:rPr>
          <w:rFonts w:cstheme="minorHAnsi"/>
          <w:i/>
        </w:rPr>
        <w:t>i</w:t>
      </w:r>
      <w:r w:rsidRPr="007D28AB">
        <w:rPr>
          <w:rFonts w:cstheme="minorHAnsi"/>
          <w:i/>
        </w:rPr>
        <w:t>tów</w:t>
      </w:r>
      <w:proofErr w:type="spellEnd"/>
      <w:r w:rsidRPr="007D28AB">
        <w:rPr>
          <w:rFonts w:cstheme="minorHAnsi"/>
          <w:i/>
        </w:rPr>
        <w:t xml:space="preserve"> wewnętrznych</w:t>
      </w:r>
      <w:r w:rsidRPr="007D28AB">
        <w:rPr>
          <w:rFonts w:cstheme="minorHAnsi"/>
        </w:rPr>
        <w:t>.</w:t>
      </w:r>
    </w:p>
    <w:p w14:paraId="0109D2E0" w14:textId="77777777" w:rsidR="00647E8E" w:rsidRPr="007D28AB" w:rsidRDefault="00647E8E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</w:t>
      </w:r>
      <w:r w:rsidR="00F1596F" w:rsidRPr="007D28AB">
        <w:rPr>
          <w:rFonts w:cstheme="minorHAnsi"/>
        </w:rPr>
        <w:t xml:space="preserve">opracowuje </w:t>
      </w:r>
      <w:r w:rsidR="00C00734" w:rsidRPr="007D28AB">
        <w:rPr>
          <w:rFonts w:cstheme="minorHAnsi"/>
          <w:i/>
        </w:rPr>
        <w:t xml:space="preserve">Harmonogram </w:t>
      </w:r>
      <w:proofErr w:type="spellStart"/>
      <w:r w:rsidR="00C00734" w:rsidRPr="007D28AB">
        <w:rPr>
          <w:rFonts w:cstheme="minorHAnsi"/>
          <w:i/>
        </w:rPr>
        <w:t>audi</w:t>
      </w:r>
      <w:r w:rsidR="00F1596F" w:rsidRPr="007D28AB">
        <w:rPr>
          <w:rFonts w:cstheme="minorHAnsi"/>
          <w:i/>
        </w:rPr>
        <w:t>tów</w:t>
      </w:r>
      <w:proofErr w:type="spellEnd"/>
      <w:r w:rsidR="00F1596F" w:rsidRPr="007D28AB">
        <w:rPr>
          <w:rFonts w:cstheme="minorHAnsi"/>
          <w:i/>
        </w:rPr>
        <w:t xml:space="preserve"> wewnętrznych</w:t>
      </w:r>
      <w:r w:rsidR="00C00734" w:rsidRPr="007D28AB">
        <w:rPr>
          <w:rFonts w:cstheme="minorHAnsi"/>
        </w:rPr>
        <w:t xml:space="preserve"> do końca stycznia, </w:t>
      </w:r>
      <w:r w:rsidRPr="007D28AB">
        <w:rPr>
          <w:rFonts w:cstheme="minorHAnsi"/>
        </w:rPr>
        <w:t xml:space="preserve">każdego roku na </w:t>
      </w:r>
      <w:r w:rsidR="00F1596F" w:rsidRPr="007D28AB">
        <w:rPr>
          <w:rFonts w:cstheme="minorHAnsi"/>
        </w:rPr>
        <w:t>następny rok kalendarzowy.</w:t>
      </w:r>
      <w:r w:rsidRPr="007D28AB">
        <w:rPr>
          <w:rFonts w:cstheme="minorHAnsi"/>
        </w:rPr>
        <w:t xml:space="preserve"> </w:t>
      </w:r>
      <w:r w:rsidR="00F1596F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Wewnętrzne audyty są planowane na podstawie ważności działań, które mają być audytowane, z uwzględnieniem wyników poprzednich audytów oraz wszelkich uwag i problemów sygnalizowanych przez pracowników, dostawców, klientów i inne strony zainteresowane firmy. Plan audytów wewnętrznych uwzględnia audyty we wszystkich procesach firmy przynajmniej raz na 12 miesięcy.</w:t>
      </w:r>
    </w:p>
    <w:p w14:paraId="70EB7A2B" w14:textId="77777777" w:rsidR="00455B53" w:rsidRPr="007D28AB" w:rsidRDefault="00F1596F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Harmon</w:t>
      </w:r>
      <w:r w:rsidR="00647E8E" w:rsidRPr="007D28AB">
        <w:rPr>
          <w:rFonts w:cstheme="minorHAnsi"/>
        </w:rPr>
        <w:t>ogram zatwierdza Plant Manager</w:t>
      </w:r>
      <w:r w:rsidR="00C00734" w:rsidRPr="007D28AB">
        <w:rPr>
          <w:rFonts w:cstheme="minorHAnsi"/>
        </w:rPr>
        <w:t xml:space="preserve">. Następnie, </w:t>
      </w:r>
      <w:proofErr w:type="spellStart"/>
      <w:r w:rsidR="00647E8E" w:rsidRPr="007D28AB">
        <w:rPr>
          <w:rFonts w:cstheme="minorHAnsi"/>
        </w:rPr>
        <w:t>Quality</w:t>
      </w:r>
      <w:proofErr w:type="spellEnd"/>
      <w:r w:rsidR="00647E8E" w:rsidRPr="007D28AB">
        <w:rPr>
          <w:rFonts w:cstheme="minorHAnsi"/>
        </w:rPr>
        <w:t xml:space="preserve"> Manager</w:t>
      </w:r>
      <w:r w:rsidR="00C00734" w:rsidRPr="007D28AB">
        <w:rPr>
          <w:rFonts w:cstheme="minorHAnsi"/>
        </w:rPr>
        <w:t xml:space="preserve"> wysyła harmonogram do wszystkich auditorów wewnętrznych.</w:t>
      </w:r>
    </w:p>
    <w:p w14:paraId="14BAB691" w14:textId="77777777" w:rsidR="00723C7E" w:rsidRPr="007D28AB" w:rsidRDefault="00723C7E" w:rsidP="00F1596F">
      <w:pPr>
        <w:pStyle w:val="Akapitzlist"/>
        <w:spacing w:after="0" w:line="240" w:lineRule="auto"/>
        <w:ind w:left="1065"/>
        <w:rPr>
          <w:rFonts w:cstheme="minorHAnsi"/>
        </w:rPr>
      </w:pPr>
    </w:p>
    <w:p w14:paraId="59FA89C1" w14:textId="77777777" w:rsidR="00536775" w:rsidRPr="007D28AB" w:rsidRDefault="00536775" w:rsidP="00A1299F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Powołanie zespołu</w:t>
      </w:r>
      <w:r w:rsidR="00112B23" w:rsidRPr="007D28AB">
        <w:rPr>
          <w:rFonts w:cstheme="minorHAnsi"/>
        </w:rPr>
        <w:t xml:space="preserve"> audi</w:t>
      </w:r>
      <w:r w:rsidRPr="007D28AB">
        <w:rPr>
          <w:rFonts w:cstheme="minorHAnsi"/>
        </w:rPr>
        <w:t>torów.</w:t>
      </w:r>
    </w:p>
    <w:p w14:paraId="7B8389FA" w14:textId="77777777" w:rsidR="00536775" w:rsidRPr="007D28AB" w:rsidRDefault="00647E8E" w:rsidP="00536775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</w:t>
      </w:r>
      <w:r w:rsidR="00536775" w:rsidRPr="007D28AB">
        <w:rPr>
          <w:rFonts w:cstheme="minorHAnsi"/>
        </w:rPr>
        <w:t xml:space="preserve"> dobiera auditorów </w:t>
      </w:r>
      <w:r w:rsidR="00A64674" w:rsidRPr="007D28AB">
        <w:rPr>
          <w:rFonts w:cstheme="minorHAnsi"/>
        </w:rPr>
        <w:t xml:space="preserve">z </w:t>
      </w:r>
      <w:r w:rsidR="00A64674" w:rsidRPr="007D28AB">
        <w:rPr>
          <w:rFonts w:cstheme="minorHAnsi"/>
          <w:i/>
        </w:rPr>
        <w:t>L</w:t>
      </w:r>
      <w:r w:rsidR="00536775" w:rsidRPr="007D28AB">
        <w:rPr>
          <w:rFonts w:cstheme="minorHAnsi"/>
          <w:i/>
        </w:rPr>
        <w:t>isty auditorów</w:t>
      </w:r>
      <w:r w:rsidR="00536775" w:rsidRPr="007D28AB">
        <w:rPr>
          <w:rFonts w:cstheme="minorHAnsi"/>
        </w:rPr>
        <w:t xml:space="preserve"> </w:t>
      </w:r>
      <w:r w:rsidR="00536775" w:rsidRPr="007D28AB">
        <w:rPr>
          <w:rFonts w:cstheme="minorHAnsi"/>
          <w:i/>
        </w:rPr>
        <w:t>wewnętrznych</w:t>
      </w:r>
      <w:r w:rsidRPr="007D28AB">
        <w:rPr>
          <w:rFonts w:cstheme="minorHAnsi"/>
        </w:rPr>
        <w:t xml:space="preserve"> zatwierdzonej przez Plant Managera</w:t>
      </w:r>
      <w:r w:rsidR="00536775" w:rsidRPr="007D28AB">
        <w:rPr>
          <w:rFonts w:cstheme="minorHAnsi"/>
        </w:rPr>
        <w:t>, kierując się zasadą zapewnienia niezależności auditorów od osób ponoszących bezpośrednią odpowiedzialn</w:t>
      </w:r>
      <w:r w:rsidRPr="007D28AB">
        <w:rPr>
          <w:rFonts w:cstheme="minorHAnsi"/>
        </w:rPr>
        <w:t xml:space="preserve">ość za </w:t>
      </w:r>
      <w:proofErr w:type="spellStart"/>
      <w:r w:rsidRPr="007D28AB">
        <w:rPr>
          <w:rFonts w:cstheme="minorHAnsi"/>
        </w:rPr>
        <w:t>auditowany</w:t>
      </w:r>
      <w:proofErr w:type="spellEnd"/>
      <w:r w:rsidRPr="007D28AB">
        <w:rPr>
          <w:rFonts w:cstheme="minorHAnsi"/>
        </w:rPr>
        <w:t xml:space="preserve"> proces</w:t>
      </w:r>
      <w:r w:rsidR="00536775" w:rsidRPr="007D28AB">
        <w:rPr>
          <w:rFonts w:cstheme="minorHAnsi"/>
        </w:rPr>
        <w:t>.</w:t>
      </w:r>
    </w:p>
    <w:p w14:paraId="005125FF" w14:textId="6AF64B34" w:rsidR="00723C7E" w:rsidRPr="007D28AB" w:rsidRDefault="00536775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</w:t>
      </w:r>
      <w:r w:rsidR="007642DE" w:rsidRPr="007D28AB">
        <w:rPr>
          <w:rFonts w:cstheme="minorHAnsi"/>
        </w:rPr>
        <w:t xml:space="preserve">torem wiodącym może być osoba, </w:t>
      </w:r>
      <w:r w:rsidRPr="007D28AB">
        <w:rPr>
          <w:rFonts w:cstheme="minorHAnsi"/>
        </w:rPr>
        <w:t>która posiad</w:t>
      </w:r>
      <w:r w:rsidR="007642DE" w:rsidRPr="007D28AB">
        <w:rPr>
          <w:rFonts w:cstheme="minorHAnsi"/>
        </w:rPr>
        <w:t>a wykształcenie minimum średnie</w:t>
      </w:r>
      <w:r w:rsidRPr="007D28AB">
        <w:rPr>
          <w:rFonts w:cstheme="minorHAnsi"/>
        </w:rPr>
        <w:t>,</w:t>
      </w:r>
      <w:r w:rsidR="007642DE" w:rsidRPr="007D28AB">
        <w:rPr>
          <w:rFonts w:cstheme="minorHAnsi"/>
        </w:rPr>
        <w:t xml:space="preserve"> </w:t>
      </w:r>
      <w:r w:rsidR="004C7E4B">
        <w:rPr>
          <w:rFonts w:cstheme="minorHAnsi"/>
        </w:rPr>
        <w:t xml:space="preserve">oraz dodatkowo mile widziane jest </w:t>
      </w:r>
      <w:r w:rsidRPr="007D28AB">
        <w:rPr>
          <w:rFonts w:cstheme="minorHAnsi"/>
        </w:rPr>
        <w:t>udokumentowane ukończenie kursu dla auditorów wewnętrznych przeprowadzonego przez</w:t>
      </w:r>
      <w:r w:rsidR="007642DE" w:rsidRPr="007D28AB">
        <w:rPr>
          <w:rFonts w:cstheme="minorHAnsi"/>
        </w:rPr>
        <w:t xml:space="preserve"> zewnętrzne jednostki szkolące.</w:t>
      </w:r>
    </w:p>
    <w:p w14:paraId="442B69F3" w14:textId="77777777" w:rsidR="00FC4E80" w:rsidRPr="007D28AB" w:rsidRDefault="00FC4E80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może również zlecić przeprowadzenie audytu wewnętrznego zewnętrznej firmie konsultingowej.</w:t>
      </w:r>
    </w:p>
    <w:p w14:paraId="508C5F9A" w14:textId="77777777" w:rsidR="00723C7E" w:rsidRPr="007D28AB" w:rsidRDefault="00723C7E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43C7462" w14:textId="77777777" w:rsidR="00723C7E" w:rsidRPr="007D28AB" w:rsidRDefault="00C0073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P</w:t>
      </w:r>
      <w:r w:rsidR="00C358B4" w:rsidRPr="007D28AB">
        <w:rPr>
          <w:rFonts w:cstheme="minorHAnsi"/>
        </w:rPr>
        <w:t>rzygotow</w:t>
      </w:r>
      <w:r w:rsidRPr="007D28AB">
        <w:rPr>
          <w:rFonts w:cstheme="minorHAnsi"/>
        </w:rPr>
        <w:t>anie</w:t>
      </w:r>
      <w:r w:rsidR="00C358B4" w:rsidRPr="007D28AB">
        <w:rPr>
          <w:rFonts w:cstheme="minorHAnsi"/>
        </w:rPr>
        <w:t xml:space="preserve"> p</w:t>
      </w:r>
      <w:r w:rsidR="00723C7E" w:rsidRPr="007D28AB">
        <w:rPr>
          <w:rFonts w:cstheme="minorHAnsi"/>
        </w:rPr>
        <w:t xml:space="preserve">owiadomienie o </w:t>
      </w:r>
      <w:proofErr w:type="spellStart"/>
      <w:r w:rsidR="00723C7E" w:rsidRPr="007D28AB">
        <w:rPr>
          <w:rFonts w:cstheme="minorHAnsi"/>
        </w:rPr>
        <w:t>audicie</w:t>
      </w:r>
      <w:proofErr w:type="spellEnd"/>
      <w:r w:rsidR="00723C7E" w:rsidRPr="007D28AB">
        <w:rPr>
          <w:rFonts w:cstheme="minorHAnsi"/>
        </w:rPr>
        <w:t xml:space="preserve">. </w:t>
      </w:r>
    </w:p>
    <w:p w14:paraId="0E499A7D" w14:textId="77777777" w:rsidR="00723C7E" w:rsidRPr="007D28AB" w:rsidRDefault="00C00734" w:rsidP="00C00734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Auditor wiodący powiadamia</w:t>
      </w:r>
      <w:r w:rsidR="00723C7E" w:rsidRPr="007D28AB">
        <w:rPr>
          <w:rFonts w:cstheme="minorHAnsi"/>
        </w:rPr>
        <w:t xml:space="preserve"> </w:t>
      </w:r>
      <w:proofErr w:type="spellStart"/>
      <w:r w:rsidRPr="007D28AB">
        <w:rPr>
          <w:rFonts w:cstheme="minorHAnsi"/>
        </w:rPr>
        <w:t>auditowaną</w:t>
      </w:r>
      <w:proofErr w:type="spellEnd"/>
      <w:r w:rsidRPr="007D28AB">
        <w:rPr>
          <w:rFonts w:cstheme="minorHAnsi"/>
        </w:rPr>
        <w:t xml:space="preserve"> komórkę</w:t>
      </w:r>
      <w:r w:rsidR="00A878CC" w:rsidRPr="007D28AB">
        <w:rPr>
          <w:rFonts w:cstheme="minorHAnsi"/>
        </w:rPr>
        <w:t xml:space="preserve"> o chęci przeprowadzenia </w:t>
      </w:r>
      <w:proofErr w:type="spellStart"/>
      <w:r w:rsidR="00A878CC" w:rsidRPr="007D28AB">
        <w:rPr>
          <w:rFonts w:cstheme="minorHAnsi"/>
        </w:rPr>
        <w:t>auditu</w:t>
      </w:r>
      <w:proofErr w:type="spellEnd"/>
      <w:r w:rsidR="00A878CC" w:rsidRPr="007D28AB">
        <w:rPr>
          <w:rFonts w:cstheme="minorHAnsi"/>
        </w:rPr>
        <w:t xml:space="preserve">, </w:t>
      </w:r>
      <w:r w:rsidR="00241692" w:rsidRPr="007D28AB">
        <w:rPr>
          <w:rFonts w:cstheme="minorHAnsi"/>
        </w:rPr>
        <w:t>nie później niż 7 dni</w:t>
      </w:r>
      <w:r w:rsidR="00723C7E" w:rsidRPr="007D28AB">
        <w:rPr>
          <w:rFonts w:cstheme="minorHAnsi"/>
        </w:rPr>
        <w:t xml:space="preserve"> przed planowanym terminem </w:t>
      </w:r>
      <w:proofErr w:type="spellStart"/>
      <w:r w:rsidR="00723C7E" w:rsidRPr="007D28AB">
        <w:rPr>
          <w:rFonts w:cstheme="minorHAnsi"/>
        </w:rPr>
        <w:t>auditu</w:t>
      </w:r>
      <w:proofErr w:type="spellEnd"/>
      <w:r w:rsidR="00723C7E" w:rsidRPr="007D28AB">
        <w:rPr>
          <w:rFonts w:cstheme="minorHAnsi"/>
        </w:rPr>
        <w:t>.</w:t>
      </w:r>
    </w:p>
    <w:p w14:paraId="38B85A71" w14:textId="77777777" w:rsidR="00A64674" w:rsidRPr="007D28AB" w:rsidRDefault="00A64674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13728143" w14:textId="77777777" w:rsidR="00A64674" w:rsidRPr="007D28AB" w:rsidRDefault="00A6467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Przygotowanie do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2AD5A382" w14:textId="77777777" w:rsidR="00A64674" w:rsidRPr="007D28AB" w:rsidRDefault="00A64674" w:rsidP="00A64674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Auditor wiodący </w:t>
      </w:r>
      <w:r w:rsidR="00241692" w:rsidRPr="007D28AB">
        <w:rPr>
          <w:rFonts w:cstheme="minorHAnsi"/>
        </w:rPr>
        <w:t>przygotowuje</w:t>
      </w:r>
      <w:r w:rsidR="00E6014A" w:rsidRPr="007D28AB">
        <w:rPr>
          <w:rFonts w:cstheme="minorHAnsi"/>
        </w:rPr>
        <w:t xml:space="preserve"> do </w:t>
      </w:r>
      <w:proofErr w:type="spellStart"/>
      <w:r w:rsidR="00E6014A" w:rsidRPr="007D28AB">
        <w:rPr>
          <w:rFonts w:cstheme="minorHAnsi"/>
        </w:rPr>
        <w:t>auditu</w:t>
      </w:r>
      <w:proofErr w:type="spellEnd"/>
      <w:r w:rsidR="00241692" w:rsidRPr="007D28AB">
        <w:rPr>
          <w:rFonts w:cstheme="minorHAnsi"/>
        </w:rPr>
        <w:t xml:space="preserve"> dokumentacje audytową.  </w:t>
      </w:r>
      <w:r w:rsidR="00E6014A" w:rsidRPr="007D28AB">
        <w:rPr>
          <w:rFonts w:cstheme="minorHAnsi"/>
        </w:rPr>
        <w:t xml:space="preserve">Określa w dokumencie „Raport z audytu wewnętrznego” zakres i obszar prowadzonego audytu oraz jeśli to konieczne </w:t>
      </w:r>
      <w:r w:rsidRPr="007D28AB">
        <w:rPr>
          <w:rFonts w:cstheme="minorHAnsi"/>
        </w:rPr>
        <w:t xml:space="preserve">opracowuje </w:t>
      </w:r>
      <w:r w:rsidR="00723994" w:rsidRPr="007D28AB">
        <w:rPr>
          <w:rFonts w:cstheme="minorHAnsi"/>
          <w:i/>
        </w:rPr>
        <w:t xml:space="preserve">kwestionariusz </w:t>
      </w:r>
      <w:proofErr w:type="spellStart"/>
      <w:r w:rsidR="00723994" w:rsidRPr="007D28AB">
        <w:rPr>
          <w:rFonts w:cstheme="minorHAnsi"/>
          <w:i/>
        </w:rPr>
        <w:t>auditu</w:t>
      </w:r>
      <w:proofErr w:type="spellEnd"/>
      <w:r w:rsidR="00723994" w:rsidRPr="007D28AB">
        <w:rPr>
          <w:rFonts w:cstheme="minorHAnsi"/>
          <w:i/>
        </w:rPr>
        <w:t xml:space="preserve"> wewnętrznego</w:t>
      </w:r>
      <w:r w:rsidR="00E6014A" w:rsidRPr="007D28AB">
        <w:rPr>
          <w:rFonts w:cstheme="minorHAnsi"/>
          <w:i/>
        </w:rPr>
        <w:t xml:space="preserve"> </w:t>
      </w:r>
      <w:r w:rsidR="00E6014A" w:rsidRPr="007D28AB">
        <w:rPr>
          <w:rFonts w:cstheme="minorHAnsi"/>
        </w:rPr>
        <w:t>jako dokument pomocniczy przy audycie</w:t>
      </w:r>
      <w:r w:rsidR="00723994" w:rsidRPr="007D28AB">
        <w:rPr>
          <w:rFonts w:cstheme="minorHAnsi"/>
          <w:i/>
        </w:rPr>
        <w:t>.</w:t>
      </w:r>
    </w:p>
    <w:p w14:paraId="60EE8698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39AE634A" w14:textId="77777777" w:rsidR="00686AD3" w:rsidRPr="007D28AB" w:rsidRDefault="00686AD3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Przeprowadzenie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7223E133" w14:textId="72BEACB2" w:rsidR="001A52BE" w:rsidRDefault="00686AD3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Audytor wiodący na spotkaniu otwierającym omawia cel i zakres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, wyjaśnia metody i procedury st</w:t>
      </w:r>
      <w:r w:rsidR="00723994" w:rsidRPr="007D28AB">
        <w:rPr>
          <w:rFonts w:cstheme="minorHAnsi"/>
        </w:rPr>
        <w:t xml:space="preserve">osowane podczas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, omawia p</w:t>
      </w:r>
      <w:r w:rsidRPr="007D28AB">
        <w:rPr>
          <w:rFonts w:cstheme="minorHAnsi"/>
        </w:rPr>
        <w:t xml:space="preserve">lan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wewnętrznego i udziela ewentualnych wyjaśnień na pytania </w:t>
      </w:r>
      <w:r w:rsidR="00723994" w:rsidRPr="007D28AB">
        <w:rPr>
          <w:rFonts w:cstheme="minorHAnsi"/>
        </w:rPr>
        <w:br/>
      </w:r>
      <w:r w:rsidRPr="007D28AB">
        <w:rPr>
          <w:rFonts w:cstheme="minorHAnsi"/>
        </w:rPr>
        <w:t xml:space="preserve">i wątpliwości związane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 xml:space="preserve">. W czasie wykonywania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, </w:t>
      </w:r>
      <w:r w:rsidR="00663B48" w:rsidRPr="007D28AB">
        <w:rPr>
          <w:rFonts w:cstheme="minorHAnsi"/>
        </w:rPr>
        <w:t>auditorzy</w:t>
      </w:r>
      <w:r w:rsidRPr="007D28AB">
        <w:rPr>
          <w:rFonts w:cstheme="minorHAnsi"/>
        </w:rPr>
        <w:t xml:space="preserve"> przeprowadzają metodyczne badani</w:t>
      </w:r>
      <w:r w:rsidR="006F076E" w:rsidRPr="007D28AB">
        <w:rPr>
          <w:rFonts w:cstheme="minorHAnsi"/>
        </w:rPr>
        <w:t>e funkcjonowania zintegrowanego systemu zarządzania</w:t>
      </w:r>
      <w:r w:rsidRPr="007D28AB">
        <w:rPr>
          <w:rFonts w:cstheme="minorHAnsi"/>
        </w:rPr>
        <w:t xml:space="preserve">. </w:t>
      </w:r>
      <w:proofErr w:type="spellStart"/>
      <w:r w:rsidR="006F076E" w:rsidRPr="007D28AB">
        <w:rPr>
          <w:rFonts w:cstheme="minorHAnsi"/>
        </w:rPr>
        <w:t>Auditowane</w:t>
      </w:r>
      <w:proofErr w:type="spellEnd"/>
      <w:r w:rsidR="006F076E" w:rsidRPr="007D28AB">
        <w:rPr>
          <w:rFonts w:cstheme="minorHAnsi"/>
        </w:rPr>
        <w:t xml:space="preserve"> osoby współpracują z prowadzącym </w:t>
      </w:r>
      <w:proofErr w:type="spellStart"/>
      <w:r w:rsidR="006F076E" w:rsidRPr="007D28AB">
        <w:rPr>
          <w:rFonts w:cstheme="minorHAnsi"/>
        </w:rPr>
        <w:t>audit</w:t>
      </w:r>
      <w:proofErr w:type="spellEnd"/>
      <w:r w:rsidR="006F076E" w:rsidRPr="007D28AB">
        <w:rPr>
          <w:rFonts w:cstheme="minorHAnsi"/>
        </w:rPr>
        <w:t xml:space="preserve"> w czasie jego trwania. Na raporcie z</w:t>
      </w:r>
      <w:r w:rsidR="00723994" w:rsidRPr="007D28AB">
        <w:rPr>
          <w:rFonts w:cstheme="minorHAnsi"/>
        </w:rPr>
        <w:t xml:space="preserve">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 xml:space="preserve"> wewnętrznego a</w:t>
      </w:r>
      <w:r w:rsidR="00663B48" w:rsidRPr="007D28AB">
        <w:rPr>
          <w:rFonts w:cstheme="minorHAnsi"/>
        </w:rPr>
        <w:t>uditorzy</w:t>
      </w:r>
      <w:r w:rsidRPr="007D28AB">
        <w:rPr>
          <w:rFonts w:cstheme="minorHAnsi"/>
        </w:rPr>
        <w:t xml:space="preserve"> odnotowują </w:t>
      </w:r>
      <w:r w:rsidR="006F076E" w:rsidRPr="007D28AB">
        <w:rPr>
          <w:rFonts w:cstheme="minorHAnsi"/>
        </w:rPr>
        <w:t>swoje</w:t>
      </w:r>
      <w:r w:rsidRPr="007D28AB">
        <w:rPr>
          <w:rFonts w:cstheme="minorHAnsi"/>
        </w:rPr>
        <w:t xml:space="preserve"> niezgodności</w:t>
      </w:r>
      <w:r w:rsidR="006F076E" w:rsidRPr="007D28AB">
        <w:rPr>
          <w:rFonts w:cstheme="minorHAnsi"/>
        </w:rPr>
        <w:t xml:space="preserve"> i/lub spostrzeżenia</w:t>
      </w:r>
      <w:r w:rsidRPr="007D28AB">
        <w:rPr>
          <w:rFonts w:cstheme="minorHAnsi"/>
        </w:rPr>
        <w:t xml:space="preserve">. </w:t>
      </w:r>
    </w:p>
    <w:p w14:paraId="17F41324" w14:textId="39F2BE93" w:rsidR="00611239" w:rsidRDefault="00611239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085DEB3" w14:textId="73BAE387" w:rsidR="006831E1" w:rsidRDefault="006831E1" w:rsidP="006831E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831E1">
        <w:rPr>
          <w:rFonts w:cstheme="minorHAnsi"/>
        </w:rPr>
        <w:t>Audyty dokumentacji / Specyfikacji IKEA przeprowadzane</w:t>
      </w:r>
      <w:r w:rsidR="00086CF3">
        <w:rPr>
          <w:rFonts w:cstheme="minorHAnsi"/>
        </w:rPr>
        <w:t xml:space="preserve"> są</w:t>
      </w:r>
      <w:r w:rsidRPr="006831E1">
        <w:rPr>
          <w:rFonts w:cstheme="minorHAnsi"/>
        </w:rPr>
        <w:t xml:space="preserve"> </w:t>
      </w:r>
      <w:r w:rsidR="00086CF3">
        <w:rPr>
          <w:rFonts w:cstheme="minorHAnsi"/>
        </w:rPr>
        <w:t>raz na dwa miesiące</w:t>
      </w:r>
      <w:r w:rsidRPr="006831E1">
        <w:rPr>
          <w:rFonts w:cstheme="minorHAnsi"/>
        </w:rPr>
        <w:t xml:space="preserve"> według </w:t>
      </w:r>
      <w:r w:rsidRPr="006831E1">
        <w:rPr>
          <w:rFonts w:cstheme="minorHAnsi"/>
          <w:i/>
          <w:iCs/>
        </w:rPr>
        <w:t xml:space="preserve">Harmonogramu </w:t>
      </w:r>
      <w:proofErr w:type="spellStart"/>
      <w:r w:rsidRPr="006831E1">
        <w:rPr>
          <w:rFonts w:cstheme="minorHAnsi"/>
          <w:i/>
          <w:iCs/>
        </w:rPr>
        <w:t>auditów</w:t>
      </w:r>
      <w:proofErr w:type="spellEnd"/>
      <w:r w:rsidRPr="006831E1">
        <w:rPr>
          <w:rFonts w:cstheme="minorHAnsi"/>
          <w:i/>
          <w:iCs/>
        </w:rPr>
        <w:t xml:space="preserve"> wewnętrznych.</w:t>
      </w:r>
      <w:r w:rsidRPr="006831E1">
        <w:rPr>
          <w:rFonts w:cstheme="minorHAnsi"/>
        </w:rPr>
        <w:t xml:space="preserve"> Podczas każdego audytu dwuosobowy zespół audytowy analizuje wybraną dokumentację / Specyfikację / Specyfikacje IKEA dla potwierdzenia wdrożenia wszystkich zmian w nowych wersjach dokumentów / spełniania wszystkich wymagań w już wdrożonych dokumentach.</w:t>
      </w:r>
      <w:r w:rsidR="009A7821">
        <w:rPr>
          <w:rFonts w:cstheme="minorHAnsi"/>
        </w:rPr>
        <w:t xml:space="preserve"> Dodatkowo weryfikowany jest system Connect i ważność wymaganych badań i certyfikatów, które wskazane są w weryfikowanej podczas audytu specyfikacji. </w:t>
      </w:r>
    </w:p>
    <w:p w14:paraId="65836121" w14:textId="63B79D1D" w:rsidR="00E6014A" w:rsidRDefault="00E6014A" w:rsidP="003B7F79">
      <w:pPr>
        <w:spacing w:after="0" w:line="240" w:lineRule="auto"/>
        <w:jc w:val="both"/>
        <w:rPr>
          <w:rFonts w:cstheme="minorHAnsi"/>
        </w:rPr>
      </w:pPr>
    </w:p>
    <w:p w14:paraId="1613511B" w14:textId="77777777" w:rsidR="009A7821" w:rsidRPr="007D28AB" w:rsidRDefault="009A7821" w:rsidP="003B7F79">
      <w:pPr>
        <w:spacing w:after="0" w:line="240" w:lineRule="auto"/>
        <w:jc w:val="both"/>
        <w:rPr>
          <w:rFonts w:cstheme="minorHAnsi"/>
        </w:rPr>
      </w:pPr>
    </w:p>
    <w:p w14:paraId="7C3215B6" w14:textId="4D605EB5" w:rsidR="00C01768" w:rsidRPr="007D28AB" w:rsidRDefault="00B13216" w:rsidP="003B7F7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7</w:t>
      </w:r>
      <w:r w:rsidR="003B7F79" w:rsidRPr="007D28AB">
        <w:rPr>
          <w:rFonts w:cstheme="minorHAnsi"/>
        </w:rPr>
        <w:t xml:space="preserve">.     CMSS - </w:t>
      </w:r>
      <w:r w:rsidR="00C01768" w:rsidRPr="007D28AB">
        <w:rPr>
          <w:rFonts w:cstheme="minorHAnsi"/>
        </w:rPr>
        <w:t xml:space="preserve">Audyt na zgodność z wymaganiami specyfikacji IKEA IOS –MAT 0099 przeprowadzany jest 1 raz w roku. </w:t>
      </w:r>
    </w:p>
    <w:p w14:paraId="2877E872" w14:textId="77777777" w:rsidR="00C01768" w:rsidRPr="007D28AB" w:rsidRDefault="00C01768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Pytania oraz zakres audytu pokrywają poniższe punkty: </w:t>
      </w:r>
    </w:p>
    <w:p w14:paraId="1B1D24AC" w14:textId="77777777" w:rsidR="00C01768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Weryfikacja faktur z powiązanymi dokumentami ODF od dostawców tkanin</w:t>
      </w:r>
    </w:p>
    <w:p w14:paraId="4814AA5C" w14:textId="77777777" w:rsidR="005754D5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Sprawdzenie </w:t>
      </w:r>
      <w:proofErr w:type="spellStart"/>
      <w:r w:rsidRPr="007D28AB">
        <w:rPr>
          <w:rFonts w:cstheme="minorHAnsi"/>
        </w:rPr>
        <w:t>Self</w:t>
      </w:r>
      <w:proofErr w:type="spellEnd"/>
      <w:r w:rsidRPr="007D28AB">
        <w:rPr>
          <w:rFonts w:cstheme="minorHAnsi"/>
        </w:rPr>
        <w:t xml:space="preserve"> Deklaracji do specyfikacji ISO-MAT 0099 </w:t>
      </w:r>
    </w:p>
    <w:p w14:paraId="5BD85706" w14:textId="276D1CF2" w:rsidR="00875A12" w:rsidRPr="007D28AB" w:rsidRDefault="005754D5" w:rsidP="003B7F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Prześledzenie procesu </w:t>
      </w:r>
      <w:proofErr w:type="spellStart"/>
      <w:r w:rsidR="002308CF" w:rsidRPr="007D28AB">
        <w:rPr>
          <w:rFonts w:cstheme="minorHAnsi"/>
        </w:rPr>
        <w:t>traceability</w:t>
      </w:r>
      <w:proofErr w:type="spellEnd"/>
      <w:r w:rsidRPr="007D28AB">
        <w:rPr>
          <w:rFonts w:cstheme="minorHAnsi"/>
        </w:rPr>
        <w:t xml:space="preserve"> dla bawełny</w:t>
      </w:r>
    </w:p>
    <w:p w14:paraId="158F6596" w14:textId="77777777" w:rsidR="005754D5" w:rsidRPr="007D28AB" w:rsidRDefault="003B7F79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</w:t>
      </w:r>
      <w:r w:rsidR="000A14D3" w:rsidRPr="007D28AB">
        <w:rPr>
          <w:rFonts w:cstheme="minorHAnsi"/>
        </w:rPr>
        <w:t>eryfikacja raportowania w zakresie CMSS</w:t>
      </w:r>
    </w:p>
    <w:p w14:paraId="3938EE41" w14:textId="77777777" w:rsidR="000A14D3" w:rsidRPr="007D28AB" w:rsidRDefault="000A14D3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dokumentacji w zakresie odpowiedzialności za CMSS</w:t>
      </w:r>
    </w:p>
    <w:p w14:paraId="58190762" w14:textId="77777777" w:rsidR="0050621F" w:rsidRPr="007D28AB" w:rsidRDefault="000A14D3" w:rsidP="005062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i osób podlegających szkoleniu z zakresu CMSS</w:t>
      </w:r>
    </w:p>
    <w:p w14:paraId="533D1749" w14:textId="77777777" w:rsidR="003B7F79" w:rsidRPr="007D28AB" w:rsidRDefault="003B7F79" w:rsidP="003B7F79">
      <w:pPr>
        <w:spacing w:after="0" w:line="240" w:lineRule="auto"/>
        <w:jc w:val="both"/>
        <w:rPr>
          <w:rFonts w:cstheme="minorHAnsi"/>
        </w:rPr>
      </w:pPr>
    </w:p>
    <w:p w14:paraId="69B33FCE" w14:textId="7C00C597" w:rsidR="003B7F79" w:rsidRPr="007D28AB" w:rsidRDefault="00B13216" w:rsidP="0050621F">
      <w:pPr>
        <w:spacing w:after="0" w:line="24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>8</w:t>
      </w:r>
      <w:r w:rsidR="003B7F79" w:rsidRPr="007D28AB">
        <w:rPr>
          <w:rFonts w:cstheme="minorHAnsi"/>
        </w:rPr>
        <w:t xml:space="preserve">.  </w:t>
      </w:r>
      <w:r w:rsidR="0050621F" w:rsidRPr="007D28AB">
        <w:rPr>
          <w:rFonts w:cstheme="minorHAnsi"/>
        </w:rPr>
        <w:t xml:space="preserve">  </w:t>
      </w:r>
      <w:r w:rsidR="003B7F79" w:rsidRPr="007D28AB">
        <w:rPr>
          <w:rFonts w:cstheme="minorHAnsi"/>
        </w:rPr>
        <w:t>GO/NOGO –</w:t>
      </w:r>
      <w:r w:rsidR="0050621F" w:rsidRPr="007D28AB">
        <w:rPr>
          <w:rFonts w:cstheme="minorHAnsi"/>
        </w:rPr>
        <w:t xml:space="preserve"> Audyt na</w:t>
      </w:r>
      <w:r w:rsidR="003B7F79" w:rsidRPr="007D28AB">
        <w:rPr>
          <w:rFonts w:cstheme="minorHAnsi"/>
        </w:rPr>
        <w:t xml:space="preserve"> zgodność z wymaganiami: Appendix </w:t>
      </w:r>
      <w:proofErr w:type="spellStart"/>
      <w:r w:rsidR="003B7F79" w:rsidRPr="007D28AB">
        <w:rPr>
          <w:rFonts w:cstheme="minorHAnsi"/>
        </w:rPr>
        <w:t>Gluing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Latex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Packing</w:t>
      </w:r>
      <w:proofErr w:type="spellEnd"/>
      <w:r w:rsidR="003B7F79" w:rsidRPr="007D28AB">
        <w:rPr>
          <w:rFonts w:cstheme="minorHAnsi"/>
        </w:rPr>
        <w:t>, Appendix</w:t>
      </w:r>
      <w:r w:rsidR="0050621F" w:rsidRPr="007D28AB">
        <w:rPr>
          <w:rFonts w:cstheme="minorHAnsi"/>
        </w:rPr>
        <w:t xml:space="preserve"> PU. Przeprowadzany jest 1 raz na dwa lata.</w:t>
      </w:r>
      <w:r w:rsidR="009A7821">
        <w:rPr>
          <w:rFonts w:cstheme="minorHAnsi"/>
        </w:rPr>
        <w:t xml:space="preserve"> Spełnienie wymagań wewnętrznie weryfikowane jest na bieżąco np. poprzez obejścia produkcji, poprzez wyrywkowe kontrole Inspektorów Jakości, poprzez audyty produktu oraz wymagań i specyfikacji. </w:t>
      </w:r>
    </w:p>
    <w:p w14:paraId="1CA3BE72" w14:textId="77777777" w:rsidR="001A52BE" w:rsidRPr="007D28AB" w:rsidRDefault="001A52BE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50CDD183" w14:textId="05ABFFBB" w:rsidR="001A52BE" w:rsidRPr="007D28AB" w:rsidRDefault="00B13216" w:rsidP="003B7F79">
      <w:pPr>
        <w:spacing w:after="0" w:line="240" w:lineRule="auto"/>
        <w:ind w:left="705"/>
        <w:jc w:val="both"/>
        <w:rPr>
          <w:rFonts w:cstheme="minorHAnsi"/>
        </w:rPr>
      </w:pPr>
      <w:r>
        <w:rPr>
          <w:rFonts w:cstheme="minorHAnsi"/>
        </w:rPr>
        <w:t>9</w:t>
      </w:r>
      <w:r w:rsidR="003B7F79" w:rsidRPr="007D28AB">
        <w:rPr>
          <w:rFonts w:cstheme="minorHAnsi"/>
        </w:rPr>
        <w:t xml:space="preserve">.    </w:t>
      </w:r>
      <w:r w:rsidR="001A52BE" w:rsidRPr="007D28AB">
        <w:rPr>
          <w:rFonts w:cstheme="minorHAnsi"/>
        </w:rPr>
        <w:t xml:space="preserve">Zakończenie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oraz przygotowanie raportu z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wewnętrznego.</w:t>
      </w:r>
    </w:p>
    <w:p w14:paraId="02EB6DFA" w14:textId="0075D35D" w:rsidR="00686AD3" w:rsidRPr="007D28AB" w:rsidRDefault="00686AD3" w:rsidP="006F076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 zakończeniu badania </w:t>
      </w:r>
      <w:proofErr w:type="spellStart"/>
      <w:r w:rsidRPr="007D28AB">
        <w:rPr>
          <w:rFonts w:cstheme="minorHAnsi"/>
        </w:rPr>
        <w:t>auditowego</w:t>
      </w:r>
      <w:proofErr w:type="spellEnd"/>
      <w:r w:rsidRPr="007D28AB">
        <w:rPr>
          <w:rFonts w:cstheme="minorHAnsi"/>
        </w:rPr>
        <w:t xml:space="preserve"> zespół audytorów omawia zapisane</w:t>
      </w:r>
      <w:r w:rsidR="006F076E" w:rsidRPr="007D28AB">
        <w:rPr>
          <w:rFonts w:cstheme="minorHAnsi"/>
        </w:rPr>
        <w:t xml:space="preserve"> niezgodności i spostrzeżenia oraz</w:t>
      </w:r>
      <w:r w:rsidR="00723994" w:rsidRPr="007D28AB">
        <w:rPr>
          <w:rFonts w:cstheme="minorHAnsi"/>
        </w:rPr>
        <w:t xml:space="preserve"> opis</w:t>
      </w:r>
      <w:r w:rsidR="006F076E" w:rsidRPr="007D28AB">
        <w:rPr>
          <w:rFonts w:cstheme="minorHAnsi"/>
        </w:rPr>
        <w:t>uje</w:t>
      </w:r>
      <w:r w:rsidR="00723994" w:rsidRPr="007D28AB">
        <w:rPr>
          <w:rFonts w:cstheme="minorHAnsi"/>
        </w:rPr>
        <w:t xml:space="preserve"> niezgodności w</w:t>
      </w:r>
      <w:r w:rsidR="006F076E" w:rsidRPr="007D28AB">
        <w:rPr>
          <w:rFonts w:cstheme="minorHAnsi"/>
        </w:rPr>
        <w:t xml:space="preserve"> raporcie z </w:t>
      </w:r>
      <w:proofErr w:type="spellStart"/>
      <w:r w:rsidR="006F076E" w:rsidRPr="007D28AB">
        <w:rPr>
          <w:rFonts w:cstheme="minorHAnsi"/>
        </w:rPr>
        <w:t>auditu</w:t>
      </w:r>
      <w:proofErr w:type="spellEnd"/>
      <w:r w:rsidR="006F076E" w:rsidRPr="007D28AB">
        <w:rPr>
          <w:rFonts w:cstheme="minorHAnsi"/>
        </w:rPr>
        <w:t xml:space="preserve"> wewnętrznego.</w:t>
      </w:r>
      <w:r w:rsidR="00305C0E" w:rsidRPr="007D28AB">
        <w:rPr>
          <w:rFonts w:cstheme="minorHAnsi"/>
        </w:rPr>
        <w:t xml:space="preserve"> W trakcie</w:t>
      </w:r>
      <w:r w:rsidR="006F076E" w:rsidRPr="007D28AB">
        <w:rPr>
          <w:rFonts w:cstheme="minorHAnsi"/>
        </w:rPr>
        <w:t xml:space="preserve"> spotkania zamykającego</w:t>
      </w:r>
      <w:r w:rsidRPr="007D28AB">
        <w:rPr>
          <w:rFonts w:cstheme="minorHAnsi"/>
        </w:rPr>
        <w:t xml:space="preserve"> </w:t>
      </w:r>
      <w:r w:rsidR="00E3387E" w:rsidRPr="007D28AB">
        <w:rPr>
          <w:rFonts w:cstheme="minorHAnsi"/>
        </w:rPr>
        <w:t>a</w:t>
      </w:r>
      <w:r w:rsidRPr="007D28AB">
        <w:rPr>
          <w:rFonts w:cstheme="minorHAnsi"/>
        </w:rPr>
        <w:t>ud</w:t>
      </w:r>
      <w:r w:rsidR="00723994" w:rsidRPr="007D28AB">
        <w:rPr>
          <w:rFonts w:cstheme="minorHAnsi"/>
        </w:rPr>
        <w:t>i</w:t>
      </w:r>
      <w:r w:rsidRPr="007D28AB">
        <w:rPr>
          <w:rFonts w:cstheme="minorHAnsi"/>
        </w:rPr>
        <w:t xml:space="preserve">tor wiodący przedstawia niezgodności ujawnione w czasie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i udziela ewentualnych wyjaśnień.</w:t>
      </w:r>
      <w:r w:rsidR="006F076E" w:rsidRPr="007D28AB">
        <w:rPr>
          <w:rFonts w:cstheme="minorHAnsi"/>
        </w:rPr>
        <w:t xml:space="preserve"> Lider procesu/</w:t>
      </w:r>
      <w:r w:rsidR="0027104E" w:rsidRPr="007D28AB">
        <w:rPr>
          <w:rFonts w:cstheme="minorHAnsi"/>
        </w:rPr>
        <w:t>Przedstawiciel K.O. potwierdza zrozumienie istoty ujawnionych niezgodn</w:t>
      </w:r>
      <w:r w:rsidR="00305C0E" w:rsidRPr="007D28AB">
        <w:rPr>
          <w:rFonts w:cstheme="minorHAnsi"/>
        </w:rPr>
        <w:t xml:space="preserve">ości składając pod nimi podpis. Osoba odpowiedzialna za audytowaną komórkę organizacyjną proponuje działania korygujące </w:t>
      </w:r>
      <w:r w:rsidR="001A52BE" w:rsidRPr="007D28AB">
        <w:rPr>
          <w:rFonts w:cstheme="minorHAnsi"/>
        </w:rPr>
        <w:t xml:space="preserve">oraz </w:t>
      </w:r>
      <w:r w:rsidR="006F076E" w:rsidRPr="007D28AB">
        <w:rPr>
          <w:rFonts w:cstheme="minorHAnsi"/>
        </w:rPr>
        <w:t>deklaruje</w:t>
      </w:r>
      <w:r w:rsidRPr="007D28AB">
        <w:rPr>
          <w:rFonts w:cstheme="minorHAnsi"/>
        </w:rPr>
        <w:t xml:space="preserve">  proponowany termin ich zakończeni</w:t>
      </w:r>
      <w:r w:rsidR="00112B23" w:rsidRPr="007D28AB">
        <w:rPr>
          <w:rFonts w:cstheme="minorHAnsi"/>
        </w:rPr>
        <w:t>a</w:t>
      </w:r>
      <w:r w:rsidRPr="007D28AB">
        <w:rPr>
          <w:rFonts w:cstheme="minorHAnsi"/>
        </w:rPr>
        <w:t>.</w:t>
      </w:r>
      <w:r w:rsidR="00305C0E" w:rsidRPr="007D28AB">
        <w:rPr>
          <w:rFonts w:cstheme="minorHAnsi"/>
        </w:rPr>
        <w:t xml:space="preserve"> </w:t>
      </w:r>
      <w:r w:rsidR="00EB4BF1">
        <w:rPr>
          <w:rFonts w:cstheme="minorHAnsi"/>
        </w:rPr>
        <w:t xml:space="preserve">Raport sporządzany jest nie później niż 14 dni po zakończeniu </w:t>
      </w:r>
      <w:proofErr w:type="spellStart"/>
      <w:r w:rsidR="00EB4BF1">
        <w:rPr>
          <w:rFonts w:cstheme="minorHAnsi"/>
        </w:rPr>
        <w:t>auditu</w:t>
      </w:r>
      <w:proofErr w:type="spellEnd"/>
      <w:r w:rsidR="00EB4BF1">
        <w:rPr>
          <w:rFonts w:cstheme="minorHAnsi"/>
        </w:rPr>
        <w:t xml:space="preserve"> i przekazywany jest do </w:t>
      </w:r>
      <w:proofErr w:type="spellStart"/>
      <w:r w:rsidR="00EB4BF1">
        <w:rPr>
          <w:rFonts w:cstheme="minorHAnsi"/>
        </w:rPr>
        <w:t>Quality</w:t>
      </w:r>
      <w:proofErr w:type="spellEnd"/>
      <w:r w:rsidR="00EB4BF1">
        <w:rPr>
          <w:rFonts w:cstheme="minorHAnsi"/>
        </w:rPr>
        <w:t xml:space="preserve"> Managera drogą mailową.</w:t>
      </w:r>
    </w:p>
    <w:p w14:paraId="1CE6CC11" w14:textId="77777777" w:rsidR="00777DDD" w:rsidRPr="007D28AB" w:rsidRDefault="00777DDD" w:rsidP="00777DDD">
      <w:pPr>
        <w:spacing w:after="0" w:line="240" w:lineRule="auto"/>
        <w:jc w:val="both"/>
        <w:rPr>
          <w:rFonts w:cstheme="minorHAnsi"/>
        </w:rPr>
      </w:pPr>
    </w:p>
    <w:p w14:paraId="5D2F5D27" w14:textId="5C908EAF" w:rsidR="00777DDD" w:rsidRPr="00B13216" w:rsidRDefault="00777DDD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>Weryfikacja działań</w:t>
      </w:r>
    </w:p>
    <w:p w14:paraId="7D157BC1" w14:textId="77777777" w:rsidR="00777DDD" w:rsidRPr="007D28AB" w:rsidRDefault="00777DDD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Weryfikowane jest wdrożenie i skuteczność podjętych działań korygujących. Po weryfikacji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lub wyznaczony audytor potwierdza skuteczność przeprowadzonych działań w Raporcie z audytu </w:t>
      </w:r>
      <w:r w:rsidR="00DA5358" w:rsidRPr="007D28AB">
        <w:rPr>
          <w:rFonts w:cstheme="minorHAnsi"/>
        </w:rPr>
        <w:t>wewnętrznego</w:t>
      </w:r>
      <w:r w:rsidRPr="007D28AB">
        <w:rPr>
          <w:rFonts w:cstheme="minorHAnsi"/>
        </w:rPr>
        <w:t>. W przypadku oceny negatywnej osoba odpowiedzialna za przygotowanie i wdrożenie działań korygujących zobowiązana jest przygotować nową propozycję działań.</w:t>
      </w:r>
    </w:p>
    <w:p w14:paraId="3C398C1B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06C0BE5B" w14:textId="59784FD6" w:rsidR="00686AD3" w:rsidRPr="00B13216" w:rsidRDefault="00686AD3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 xml:space="preserve">Analiza Raportu z </w:t>
      </w:r>
      <w:proofErr w:type="spellStart"/>
      <w:r w:rsidRPr="00B13216">
        <w:rPr>
          <w:rFonts w:cstheme="minorHAnsi"/>
        </w:rPr>
        <w:t>auditu</w:t>
      </w:r>
      <w:proofErr w:type="spellEnd"/>
      <w:r w:rsidRPr="00B13216">
        <w:rPr>
          <w:rFonts w:cstheme="minorHAnsi"/>
        </w:rPr>
        <w:t xml:space="preserve"> wewnętrznego.</w:t>
      </w:r>
    </w:p>
    <w:p w14:paraId="2B5354AB" w14:textId="77777777" w:rsidR="00305C0E" w:rsidRPr="007D28AB" w:rsidRDefault="00305C0E" w:rsidP="00305C0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Podjęcie działań korygujących jest uzależnione od wagi problemu i jest monitorowane przez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Managera.</w:t>
      </w:r>
    </w:p>
    <w:p w14:paraId="36E3F305" w14:textId="77777777" w:rsidR="00686AD3" w:rsidRDefault="00F21B40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</w:t>
      </w:r>
      <w:r w:rsidR="004F2034" w:rsidRPr="007D28AB">
        <w:rPr>
          <w:rFonts w:cstheme="minorHAnsi"/>
        </w:rPr>
        <w:t>Manager</w:t>
      </w:r>
      <w:r w:rsidR="00686AD3" w:rsidRPr="007D28AB">
        <w:rPr>
          <w:rFonts w:cstheme="minorHAnsi"/>
        </w:rPr>
        <w:t xml:space="preserve"> dokonuje analizy </w:t>
      </w:r>
      <w:r w:rsidR="00723994" w:rsidRPr="007D28AB">
        <w:rPr>
          <w:rFonts w:cstheme="minorHAnsi"/>
        </w:rPr>
        <w:t>r</w:t>
      </w:r>
      <w:r w:rsidR="00686AD3" w:rsidRPr="007D28AB">
        <w:rPr>
          <w:rFonts w:cstheme="minorHAnsi"/>
        </w:rPr>
        <w:t xml:space="preserve">aportu z </w:t>
      </w:r>
      <w:proofErr w:type="spellStart"/>
      <w:r w:rsidR="00686AD3" w:rsidRPr="007D28AB">
        <w:rPr>
          <w:rFonts w:cstheme="minorHAnsi"/>
        </w:rPr>
        <w:t>auditu</w:t>
      </w:r>
      <w:proofErr w:type="spellEnd"/>
      <w:r w:rsidR="00686AD3" w:rsidRPr="007D28AB">
        <w:rPr>
          <w:rFonts w:cstheme="minorHAnsi"/>
        </w:rPr>
        <w:t xml:space="preserve"> wewnętrznego</w:t>
      </w:r>
      <w:r w:rsidR="003E5C4E" w:rsidRPr="007D28AB">
        <w:rPr>
          <w:rFonts w:cstheme="minorHAnsi"/>
        </w:rPr>
        <w:t xml:space="preserve"> oraz prowadzonych działań </w:t>
      </w:r>
      <w:r w:rsidR="00777DDD" w:rsidRPr="007D28AB">
        <w:rPr>
          <w:rFonts w:cstheme="minorHAnsi"/>
        </w:rPr>
        <w:t>korygujących</w:t>
      </w:r>
      <w:r w:rsidR="00686AD3" w:rsidRPr="007D28AB">
        <w:rPr>
          <w:rFonts w:cstheme="minorHAnsi"/>
        </w:rPr>
        <w:t xml:space="preserve"> i na tej podstawie ocenia</w:t>
      </w:r>
      <w:r w:rsidR="00305C0E" w:rsidRPr="007D28AB">
        <w:rPr>
          <w:rFonts w:cstheme="minorHAnsi"/>
        </w:rPr>
        <w:t xml:space="preserve"> skuteczność funkcjonowania</w:t>
      </w:r>
      <w:r w:rsidR="00686AD3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zintegrowanego systemu zarządzania</w:t>
      </w:r>
      <w:r w:rsidR="00686AD3" w:rsidRPr="007D28AB">
        <w:rPr>
          <w:rFonts w:cstheme="minorHAnsi"/>
        </w:rPr>
        <w:t>.</w:t>
      </w:r>
    </w:p>
    <w:p w14:paraId="61EEEAEB" w14:textId="77777777" w:rsidR="004F2034" w:rsidRPr="007D28AB" w:rsidRDefault="004F2034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>
        <w:rPr>
          <w:rFonts w:cstheme="minorHAnsi"/>
        </w:rPr>
        <w:t xml:space="preserve">Wyniki </w:t>
      </w:r>
      <w:proofErr w:type="spellStart"/>
      <w:r>
        <w:rPr>
          <w:rFonts w:cstheme="minorHAnsi"/>
        </w:rPr>
        <w:t>auditów</w:t>
      </w:r>
      <w:proofErr w:type="spellEnd"/>
      <w:r>
        <w:rPr>
          <w:rFonts w:cstheme="minorHAnsi"/>
        </w:rPr>
        <w:t xml:space="preserve"> omawiane są na corocznym Przeglądzie Zarządzania Zintegrowanego Systemu.</w:t>
      </w:r>
    </w:p>
    <w:p w14:paraId="25B72CFD" w14:textId="77777777" w:rsidR="00777DDD" w:rsidRPr="007D28AB" w:rsidRDefault="00686AD3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W przypadku poważnych zastrzeżeń odnośni</w:t>
      </w:r>
      <w:r w:rsidR="00F21B40" w:rsidRPr="007D28AB">
        <w:rPr>
          <w:rFonts w:cstheme="minorHAnsi"/>
        </w:rPr>
        <w:t xml:space="preserve">e funkcjonowania systemu w </w:t>
      </w:r>
      <w:proofErr w:type="spellStart"/>
      <w:r w:rsidR="00F21B40" w:rsidRPr="007D28AB">
        <w:rPr>
          <w:rFonts w:cstheme="minorHAnsi"/>
        </w:rPr>
        <w:t>audi</w:t>
      </w:r>
      <w:r w:rsidR="003E5C4E" w:rsidRPr="007D28AB">
        <w:rPr>
          <w:rFonts w:cstheme="minorHAnsi"/>
        </w:rPr>
        <w:t>townym</w:t>
      </w:r>
      <w:proofErr w:type="spellEnd"/>
      <w:r w:rsidR="003E5C4E" w:rsidRPr="007D28AB">
        <w:rPr>
          <w:rFonts w:cstheme="minorHAnsi"/>
        </w:rPr>
        <w:t xml:space="preserve"> procesie</w:t>
      </w:r>
      <w:r w:rsidRPr="007D28AB">
        <w:rPr>
          <w:rFonts w:cstheme="minorHAnsi"/>
        </w:rPr>
        <w:t xml:space="preserve"> </w:t>
      </w:r>
      <w:proofErr w:type="spellStart"/>
      <w:r w:rsidR="00F21B40" w:rsidRPr="007D28AB">
        <w:rPr>
          <w:rFonts w:cstheme="minorHAnsi"/>
        </w:rPr>
        <w:t>Quality</w:t>
      </w:r>
      <w:proofErr w:type="spellEnd"/>
      <w:r w:rsidR="00F21B40" w:rsidRPr="007D28AB">
        <w:rPr>
          <w:rFonts w:cstheme="minorHAnsi"/>
        </w:rPr>
        <w:t xml:space="preserve"> Manager</w:t>
      </w:r>
      <w:r w:rsidRPr="007D28AB">
        <w:rPr>
          <w:rFonts w:cstheme="minorHAnsi"/>
        </w:rPr>
        <w:t xml:space="preserve"> podejmuje decyzję o przeprowadzeniu pozaplanowego </w:t>
      </w:r>
      <w:proofErr w:type="spellStart"/>
      <w:r w:rsidRPr="007D28AB">
        <w:rPr>
          <w:rFonts w:cstheme="minorHAnsi"/>
        </w:rPr>
        <w:t>auditu</w:t>
      </w:r>
      <w:proofErr w:type="spellEnd"/>
      <w:r w:rsidR="003E5C4E" w:rsidRPr="007D28AB">
        <w:rPr>
          <w:rFonts w:cstheme="minorHAnsi"/>
        </w:rPr>
        <w:t xml:space="preserve"> w celu weryfikacji skuteczności wdrożonych działań korygujących</w:t>
      </w:r>
      <w:r w:rsidRPr="007D28AB">
        <w:rPr>
          <w:rFonts w:cstheme="minorHAnsi"/>
        </w:rPr>
        <w:t>.</w:t>
      </w:r>
    </w:p>
    <w:p w14:paraId="7F45A3CC" w14:textId="77777777" w:rsidR="00723C7E" w:rsidRPr="007D28AB" w:rsidRDefault="00723C7E" w:rsidP="00723C7E">
      <w:pPr>
        <w:spacing w:after="0" w:line="240" w:lineRule="auto"/>
        <w:ind w:left="705"/>
        <w:jc w:val="both"/>
        <w:rPr>
          <w:rFonts w:cstheme="minorHAnsi"/>
        </w:rPr>
      </w:pPr>
    </w:p>
    <w:p w14:paraId="2DA9CAA9" w14:textId="77777777" w:rsidR="00536775" w:rsidRPr="007D28AB" w:rsidRDefault="00686AD3" w:rsidP="00B13216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 xml:space="preserve">Identyfikacja dokumentów </w:t>
      </w:r>
      <w:r w:rsidR="00723994" w:rsidRPr="007D28AB">
        <w:rPr>
          <w:rFonts w:cstheme="minorHAnsi"/>
        </w:rPr>
        <w:t xml:space="preserve">audytowanych (numeru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).</w:t>
      </w:r>
    </w:p>
    <w:p w14:paraId="65D0917B" w14:textId="77777777" w:rsidR="00686AD3" w:rsidRPr="007D28AB" w:rsidRDefault="00686AD3" w:rsidP="007A187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Pełnomocnik ustala numer obowiązujący przy numerowaniu wszystkich dokumentów związanych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>, wg poniższego schematu:</w:t>
      </w:r>
      <w:r w:rsidR="007A1873" w:rsidRPr="007D28AB">
        <w:rPr>
          <w:rFonts w:cstheme="minorHAnsi"/>
        </w:rPr>
        <w:t xml:space="preserve"> </w:t>
      </w:r>
      <w:r w:rsidRPr="007D28AB">
        <w:rPr>
          <w:rFonts w:cstheme="minorHAnsi"/>
          <w:b/>
        </w:rPr>
        <w:t>A/ R</w:t>
      </w:r>
      <w:r w:rsidR="007A1873" w:rsidRPr="007D28AB">
        <w:rPr>
          <w:rFonts w:cstheme="minorHAnsi"/>
          <w:b/>
        </w:rPr>
        <w:t>RR</w:t>
      </w:r>
      <w:r w:rsidRPr="007D28AB">
        <w:rPr>
          <w:rFonts w:cstheme="minorHAnsi"/>
          <w:b/>
        </w:rPr>
        <w:t>R</w:t>
      </w:r>
      <w:r w:rsidRPr="007D28AB">
        <w:rPr>
          <w:rFonts w:cstheme="minorHAnsi"/>
        </w:rPr>
        <w:t xml:space="preserve">      </w:t>
      </w:r>
      <w:r w:rsidR="007A1873" w:rsidRPr="007D28AB">
        <w:rPr>
          <w:rFonts w:cstheme="minorHAnsi"/>
        </w:rPr>
        <w:br/>
      </w:r>
      <w:r w:rsidRPr="007D28AB">
        <w:rPr>
          <w:rFonts w:cstheme="minorHAnsi"/>
        </w:rPr>
        <w:t>gdzie:</w:t>
      </w:r>
    </w:p>
    <w:p w14:paraId="0D69FE98" w14:textId="77777777" w:rsidR="00686AD3" w:rsidRPr="007D28AB" w:rsidRDefault="007A187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 – </w:t>
      </w:r>
      <w:r w:rsidR="00686AD3" w:rsidRPr="007D28AB">
        <w:rPr>
          <w:rFonts w:cstheme="minorHAnsi"/>
        </w:rPr>
        <w:t xml:space="preserve">Lp. z Harmonogramu </w:t>
      </w:r>
      <w:proofErr w:type="spellStart"/>
      <w:r w:rsidR="00686AD3" w:rsidRPr="007D28AB">
        <w:rPr>
          <w:rFonts w:cstheme="minorHAnsi"/>
        </w:rPr>
        <w:t>auditów</w:t>
      </w:r>
      <w:proofErr w:type="spellEnd"/>
      <w:r w:rsidR="00686AD3" w:rsidRPr="007D28AB">
        <w:rPr>
          <w:rFonts w:cstheme="minorHAnsi"/>
        </w:rPr>
        <w:t xml:space="preserve"> wewnętrznych</w:t>
      </w:r>
    </w:p>
    <w:p w14:paraId="3658B7B4" w14:textId="77777777" w:rsidR="00686AD3" w:rsidRPr="007D28AB" w:rsidRDefault="00686AD3" w:rsidP="00F21B40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RR</w:t>
      </w:r>
      <w:r w:rsidR="007A1873" w:rsidRPr="007D28AB">
        <w:rPr>
          <w:rFonts w:cstheme="minorHAnsi"/>
        </w:rPr>
        <w:t xml:space="preserve">RR – </w:t>
      </w:r>
      <w:r w:rsidRPr="007D28AB">
        <w:rPr>
          <w:rFonts w:cstheme="minorHAnsi"/>
        </w:rPr>
        <w:t>cyfry roku kalendarzowego</w:t>
      </w:r>
    </w:p>
    <w:p w14:paraId="048C4DDC" w14:textId="77777777" w:rsidR="00686AD3" w:rsidRPr="007D28AB" w:rsidRDefault="00686AD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W </w:t>
      </w:r>
      <w:proofErr w:type="spellStart"/>
      <w:r w:rsidRPr="007D28AB">
        <w:rPr>
          <w:rFonts w:cstheme="minorHAnsi"/>
        </w:rPr>
        <w:t>audicie</w:t>
      </w:r>
      <w:proofErr w:type="spellEnd"/>
      <w:r w:rsidRPr="007D28AB">
        <w:rPr>
          <w:rFonts w:cstheme="minorHAnsi"/>
        </w:rPr>
        <w:t xml:space="preserve"> pozaplanowym na końcu numeru dodawane jest „P”.</w:t>
      </w:r>
    </w:p>
    <w:p w14:paraId="15939FC1" w14:textId="77777777" w:rsidR="007A1873" w:rsidRPr="007D28AB" w:rsidRDefault="00131D05" w:rsidP="003E5C4E">
      <w:p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lastRenderedPageBreak/>
        <w:tab/>
      </w:r>
    </w:p>
    <w:p w14:paraId="5B6476BE" w14:textId="77777777" w:rsidR="00131D05" w:rsidRPr="007D28AB" w:rsidRDefault="00131D05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Archiwizowanie</w:t>
      </w:r>
    </w:p>
    <w:p w14:paraId="382C49BD" w14:textId="77777777" w:rsidR="00131D05" w:rsidRPr="007D28AB" w:rsidRDefault="00131D05" w:rsidP="00131D05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Oryginalny plik</w:t>
      </w:r>
      <w:r w:rsidR="003E5C4E" w:rsidRPr="007D28AB">
        <w:rPr>
          <w:rFonts w:cstheme="minorHAnsi"/>
        </w:rPr>
        <w:t xml:space="preserve"> tego dokumentu jest przechowywany w bazie danych ZSZ</w:t>
      </w:r>
      <w:r w:rsidRPr="007D28AB">
        <w:rPr>
          <w:rFonts w:cstheme="minorHAnsi"/>
        </w:rPr>
        <w:t>.</w:t>
      </w:r>
    </w:p>
    <w:p w14:paraId="66AA4C38" w14:textId="77777777" w:rsidR="00A86613" w:rsidRDefault="00131D05" w:rsidP="00A8661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Wydrukowane dokumenty nie podlegają aktualizacji i są przeznaczone wyłącznie do użytku wewnętrznego.</w:t>
      </w:r>
    </w:p>
    <w:p w14:paraId="43C1CA9E" w14:textId="0DCC0361" w:rsidR="00A86613" w:rsidRPr="00A86613" w:rsidRDefault="00A86613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86613">
        <w:rPr>
          <w:rFonts w:cstheme="minorHAnsi"/>
        </w:rPr>
        <w:t>Audyt efektywności działań po reklamacji</w:t>
      </w:r>
    </w:p>
    <w:p w14:paraId="77E66DC5" w14:textId="36DBF81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Celem audytów </w:t>
      </w:r>
      <w:r w:rsidR="0068221B">
        <w:rPr>
          <w:rFonts w:cstheme="minorHAnsi"/>
        </w:rPr>
        <w:t>po reklamacyjnych</w:t>
      </w:r>
      <w:r>
        <w:rPr>
          <w:rFonts w:cstheme="minorHAnsi"/>
        </w:rPr>
        <w:t xml:space="preserve"> jest potwierdzenie efektywności wprowadzonych działań korygujących.</w:t>
      </w:r>
    </w:p>
    <w:p w14:paraId="3070A4B9" w14:textId="4BDBB498" w:rsidR="0068221B" w:rsidRPr="0068221B" w:rsidRDefault="00A86613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Audyty nie są ujmowane w rocznym harmonogramie audytów. Audyt jest planowany na etapie dokumentowania działań korygujących w Rejestrze Działań. Audyt jest elementem potwierdzającym efektywność działań.</w:t>
      </w:r>
    </w:p>
    <w:p w14:paraId="7E57B942" w14:textId="0ACA110F" w:rsidR="0068221B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Przepływ procesu</w:t>
      </w:r>
    </w:p>
    <w:p w14:paraId="13D3FE46" w14:textId="0BC4F114" w:rsidR="00CD5513" w:rsidRPr="00CD5513" w:rsidRDefault="00CD5513" w:rsidP="00CD5513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5513">
        <w:rPr>
          <w:rFonts w:eastAsia="Times New Roman"/>
          <w:noProof/>
          <w:lang w:val="en-GB" w:eastAsia="en-GB"/>
        </w:rPr>
        <w:drawing>
          <wp:inline distT="0" distB="0" distL="0" distR="0" wp14:anchorId="448094A9" wp14:editId="6C4C6A54">
            <wp:extent cx="3831139" cy="6180083"/>
            <wp:effectExtent l="0" t="0" r="0" b="0"/>
            <wp:docPr id="4" name="Obraz 4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39" cy="61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1AEC" w14:textId="76227D9B" w:rsidR="00BB5347" w:rsidRPr="00BB5347" w:rsidRDefault="00BB5347" w:rsidP="00BB5347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4FD28C5" w14:textId="056D1FD2" w:rsid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466A6493" w14:textId="77777777" w:rsidR="00BB5347" w:rsidRP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5F74553D" w14:textId="2FCA48C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Ramy czasowe</w:t>
      </w:r>
    </w:p>
    <w:p w14:paraId="2F388E96" w14:textId="5DAA9033" w:rsidR="00A86613" w:rsidRDefault="00A86613" w:rsidP="00A86613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Termin przeprowadzenia audytu jest uzależniony od analizy ryzyka.</w:t>
      </w:r>
    </w:p>
    <w:p w14:paraId="3575B1E6" w14:textId="77777777" w:rsidR="00B37125" w:rsidRDefault="00A86613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Ryzyko ocenia się wobec czynników składowych: </w:t>
      </w:r>
      <w:r w:rsidRPr="00A86613">
        <w:rPr>
          <w:rFonts w:cstheme="minorHAnsi"/>
          <w:b/>
          <w:bCs/>
        </w:rPr>
        <w:t>Częstotliwość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(</w:t>
      </w:r>
      <w:r>
        <w:rPr>
          <w:rFonts w:cstheme="minorHAnsi"/>
        </w:rPr>
        <w:t>występowania niezgodności</w:t>
      </w:r>
      <w:r>
        <w:rPr>
          <w:rFonts w:cstheme="minorHAnsi"/>
          <w:b/>
          <w:bCs/>
        </w:rPr>
        <w:t xml:space="preserve">) </w:t>
      </w:r>
      <w:r>
        <w:rPr>
          <w:rFonts w:cstheme="minorHAnsi"/>
        </w:rPr>
        <w:t xml:space="preserve">oraz </w:t>
      </w:r>
      <w:r>
        <w:rPr>
          <w:rFonts w:cstheme="minorHAnsi"/>
          <w:b/>
          <w:bCs/>
        </w:rPr>
        <w:t>Dotkliwość Skutków (</w:t>
      </w:r>
      <w:r>
        <w:rPr>
          <w:rFonts w:cstheme="minorHAnsi"/>
        </w:rPr>
        <w:t>wy</w:t>
      </w:r>
      <w:r w:rsidR="00B37125">
        <w:rPr>
          <w:rFonts w:cstheme="minorHAnsi"/>
        </w:rPr>
        <w:t>stąpienia niezgodności</w:t>
      </w:r>
      <w:r w:rsidR="00B37125">
        <w:rPr>
          <w:rFonts w:cstheme="minorHAnsi"/>
          <w:b/>
          <w:bCs/>
        </w:rPr>
        <w:t xml:space="preserve">). </w:t>
      </w:r>
      <w:r w:rsidR="00B37125">
        <w:rPr>
          <w:rFonts w:cstheme="minorHAnsi"/>
        </w:rPr>
        <w:t xml:space="preserve">Czynniki te ocenia się w skali od 1-do 5 gdzie 1 to najmniejsza wartość a 5 największa. W wyniku mnożenia ocenionych czynników otrzymuje się </w:t>
      </w:r>
      <w:r w:rsidR="00B37125">
        <w:rPr>
          <w:rFonts w:cstheme="minorHAnsi"/>
          <w:b/>
          <w:bCs/>
        </w:rPr>
        <w:t xml:space="preserve">Poziom Ryzyka </w:t>
      </w:r>
      <w:r w:rsidR="00B37125">
        <w:rPr>
          <w:rFonts w:cstheme="minorHAnsi"/>
        </w:rPr>
        <w:t xml:space="preserve"> w skali od 1 do 25</w:t>
      </w:r>
    </w:p>
    <w:tbl>
      <w:tblPr>
        <w:tblW w:w="2694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461"/>
      </w:tblGrid>
      <w:tr w:rsidR="00B37125" w:rsidRPr="00B37125" w14:paraId="2B76012A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AFB829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DCE58A3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02B4760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75DDF8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60E7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</w:tr>
      <w:tr w:rsidR="00B37125" w:rsidRPr="00B37125" w14:paraId="6BCDE2E0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9176D7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2D04E5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C59679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7265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639A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</w:tr>
      <w:tr w:rsidR="00B37125" w:rsidRPr="00B37125" w14:paraId="2D0A6053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85A23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CCEC1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4937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ADFE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D65E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</w:tr>
      <w:tr w:rsidR="00B37125" w:rsidRPr="00B37125" w14:paraId="0C6EC275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21E261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84DAB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888F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C4A0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0822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</w:tr>
      <w:tr w:rsidR="00B37125" w:rsidRPr="00B37125" w14:paraId="6959CE5E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6A84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2278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830BF4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E8C6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CE92A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25</w:t>
            </w:r>
          </w:p>
        </w:tc>
      </w:tr>
    </w:tbl>
    <w:p w14:paraId="736ACB4B" w14:textId="548DC3CE" w:rsidR="00A86613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>Wyróżnia się poziomy ryzyka, które wskazują czas po jakim od zamknięcia działań należy przeprowadzić ocenę efekty</w:t>
      </w:r>
      <w:r w:rsidR="00A90E95">
        <w:rPr>
          <w:rFonts w:cstheme="minorHAnsi"/>
        </w:rPr>
        <w:t>w</w:t>
      </w:r>
      <w:r>
        <w:rPr>
          <w:rFonts w:cstheme="minorHAnsi"/>
        </w:rPr>
        <w:t>ności i ilość audytów które powinny w założonym czasie mieć miejsce</w:t>
      </w:r>
    </w:p>
    <w:p w14:paraId="11F9A2AB" w14:textId="25F7D6F2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1 po 30 dniach od zakończenia działań</w:t>
      </w:r>
    </w:p>
    <w:p w14:paraId="037DDC6C" w14:textId="2FFDC487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2 – co 30 dni od zakończenia działań</w:t>
      </w:r>
    </w:p>
    <w:p w14:paraId="188025CB" w14:textId="356934E1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 w:rsidRPr="00A90E95">
        <w:rPr>
          <w:rFonts w:cstheme="minorHAnsi"/>
          <w:color w:val="FF0000"/>
        </w:rPr>
        <w:t xml:space="preserve"> </w:t>
      </w:r>
      <w:r>
        <w:rPr>
          <w:rFonts w:cstheme="minorHAnsi"/>
        </w:rPr>
        <w:t>-  3 co 30 dni od zakończenia działań</w:t>
      </w:r>
    </w:p>
    <w:p w14:paraId="79314E00" w14:textId="58EA2B40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Zespół audytujący</w:t>
      </w:r>
    </w:p>
    <w:p w14:paraId="2A8A0946" w14:textId="2CA3D6F6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06BBDD47" w14:textId="747308E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przeprowadza </w:t>
      </w:r>
      <w:r>
        <w:rPr>
          <w:rFonts w:cstheme="minorHAnsi"/>
          <w:b/>
          <w:bCs/>
        </w:rPr>
        <w:t>Inspektor Jakości</w:t>
      </w:r>
    </w:p>
    <w:p w14:paraId="7024A1EA" w14:textId="467B58BD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pierwszy audyt przeprowadza zespół w którego skład wchodzą </w:t>
      </w:r>
      <w:r>
        <w:rPr>
          <w:rFonts w:cstheme="minorHAnsi"/>
          <w:b/>
          <w:bCs/>
        </w:rPr>
        <w:t xml:space="preserve">Specjalista ds. Jakości oraz Inżynier/Technolog, </w:t>
      </w:r>
      <w:r>
        <w:rPr>
          <w:rFonts w:cstheme="minorHAnsi"/>
        </w:rPr>
        <w:t xml:space="preserve"> drugi </w:t>
      </w:r>
      <w:r>
        <w:rPr>
          <w:rFonts w:cstheme="minorHAnsi"/>
          <w:b/>
          <w:bCs/>
        </w:rPr>
        <w:t>Inspektor Jakości</w:t>
      </w:r>
    </w:p>
    <w:p w14:paraId="247A6686" w14:textId="1B3DD012" w:rsidR="00A90E95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pierwszy przeprowadza </w:t>
      </w:r>
      <w:r w:rsidRPr="00A90E95">
        <w:rPr>
          <w:rFonts w:cstheme="minorHAnsi"/>
          <w:b/>
          <w:bCs/>
        </w:rPr>
        <w:t>Kiero</w:t>
      </w:r>
      <w:r>
        <w:rPr>
          <w:rFonts w:cstheme="minorHAnsi"/>
          <w:b/>
          <w:bCs/>
        </w:rPr>
        <w:t>w</w:t>
      </w:r>
      <w:r w:rsidRPr="00A90E95">
        <w:rPr>
          <w:rFonts w:cstheme="minorHAnsi"/>
          <w:b/>
          <w:bCs/>
        </w:rPr>
        <w:t>nik Jakości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>drugi przeprowadza</w:t>
      </w:r>
      <w:r w:rsidRPr="00A90E95">
        <w:rPr>
          <w:rFonts w:cstheme="minorHAnsi"/>
        </w:rPr>
        <w:t xml:space="preserve"> </w:t>
      </w:r>
      <w:r>
        <w:rPr>
          <w:rFonts w:cstheme="minorHAnsi"/>
        </w:rPr>
        <w:t xml:space="preserve">zespół w którego skład wchodzą </w:t>
      </w:r>
      <w:r>
        <w:rPr>
          <w:rFonts w:cstheme="minorHAnsi"/>
          <w:b/>
          <w:bCs/>
        </w:rPr>
        <w:t>Specjalista ds. Jakości oraz Inżynier/Technolog,</w:t>
      </w:r>
      <w:r>
        <w:rPr>
          <w:rFonts w:cstheme="minorHAnsi"/>
        </w:rPr>
        <w:t xml:space="preserve"> a trzeci </w:t>
      </w:r>
      <w:r>
        <w:rPr>
          <w:rFonts w:cstheme="minorHAnsi"/>
          <w:b/>
          <w:bCs/>
        </w:rPr>
        <w:t xml:space="preserve">Inspektor Jakości </w:t>
      </w:r>
      <w:r>
        <w:rPr>
          <w:rFonts w:cstheme="minorHAnsi"/>
        </w:rPr>
        <w:t xml:space="preserve"> </w:t>
      </w:r>
    </w:p>
    <w:p w14:paraId="1C59433B" w14:textId="0AF04953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Odbiór audytu</w:t>
      </w:r>
    </w:p>
    <w:p w14:paraId="20AE09AE" w14:textId="77777777" w:rsidR="00A90E95" w:rsidRDefault="00A90E95" w:rsidP="00A90E95">
      <w:pPr>
        <w:pStyle w:val="Akapitzlist"/>
        <w:spacing w:after="0" w:line="240" w:lineRule="auto"/>
        <w:ind w:left="1068" w:firstLine="34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64009014" w14:textId="27CE404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odbiera </w:t>
      </w:r>
      <w:r w:rsidRPr="00A90E95">
        <w:rPr>
          <w:rFonts w:cstheme="minorHAnsi"/>
          <w:b/>
          <w:bCs/>
        </w:rPr>
        <w:t>Brygadzista</w:t>
      </w:r>
      <w:r>
        <w:rPr>
          <w:rFonts w:cstheme="minorHAnsi"/>
        </w:rPr>
        <w:t xml:space="preserve"> obszaru w którym niezgodność wystąpiła</w:t>
      </w:r>
    </w:p>
    <w:p w14:paraId="04A42FED" w14:textId="78061DB0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 odbiera </w:t>
      </w:r>
      <w:r>
        <w:rPr>
          <w:rFonts w:cstheme="minorHAnsi"/>
          <w:b/>
          <w:bCs/>
        </w:rPr>
        <w:t>Koordynator Brygadzista</w:t>
      </w:r>
    </w:p>
    <w:p w14:paraId="4B1F6CE7" w14:textId="7A0F42F4" w:rsidR="00A86613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odbiera </w:t>
      </w:r>
      <w:r>
        <w:rPr>
          <w:rFonts w:cstheme="minorHAnsi"/>
          <w:b/>
          <w:bCs/>
        </w:rPr>
        <w:t>Kierownik Obszaru</w:t>
      </w:r>
    </w:p>
    <w:p w14:paraId="308DE36B" w14:textId="2B21CE77" w:rsidR="00A90E95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Zakres audytu i przygotowanie</w:t>
      </w:r>
    </w:p>
    <w:p w14:paraId="4AFA63CD" w14:textId="04F83970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Zespół audytujący jest zobowiązany do zapoznania się </w:t>
      </w:r>
      <w:r w:rsidR="00A64FC9">
        <w:rPr>
          <w:rFonts w:cstheme="minorHAnsi"/>
        </w:rPr>
        <w:t>przed przystąpieniem do audytu z:</w:t>
      </w:r>
    </w:p>
    <w:p w14:paraId="41C030CA" w14:textId="0A7204CC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specyfikacjami Klienta</w:t>
      </w:r>
    </w:p>
    <w:p w14:paraId="006B7240" w14:textId="10FDB6B5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instrukcjami wykonania wyrobu</w:t>
      </w:r>
    </w:p>
    <w:p w14:paraId="477B2F83" w14:textId="61130FA3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obowiązującymi dokumentami opisującymi proces</w:t>
      </w:r>
    </w:p>
    <w:p w14:paraId="5660C376" w14:textId="69315E34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dokumentacją reklamacji</w:t>
      </w:r>
    </w:p>
    <w:p w14:paraId="71AC87F8" w14:textId="0FEE796B" w:rsidR="00A64FC9" w:rsidRDefault="00A64FC9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Dokumentowanie audytu</w:t>
      </w:r>
    </w:p>
    <w:p w14:paraId="4AB4B8EA" w14:textId="0F7AD636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 dokumentowany jest na formularzu ………….. i dołączany do dokumentacji reklamacji</w:t>
      </w:r>
    </w:p>
    <w:p w14:paraId="767893CE" w14:textId="51AC9594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Przyjmuje się </w:t>
      </w:r>
      <w:r w:rsidR="0068221B">
        <w:rPr>
          <w:rFonts w:cstheme="minorHAnsi"/>
        </w:rPr>
        <w:t>że numerem raportu jest numer reklamacji Klienta i uzależniony jest od poziomu ryzyka dla:</w:t>
      </w:r>
    </w:p>
    <w:p w14:paraId="620D1596" w14:textId="3A95AA1A" w:rsidR="0068221B" w:rsidRPr="00A90E95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[numer reklamacji] -1</w:t>
      </w:r>
    </w:p>
    <w:p w14:paraId="46E19F02" w14:textId="79717E6A" w:rsid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 [numer reklamacji] -1 [numer reklamacji] -2</w:t>
      </w:r>
    </w:p>
    <w:p w14:paraId="64F33A36" w14:textId="366696D6" w:rsidR="0068221B" w:rsidRP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[numer reklamacji] -1 [numer reklamacji] -2 [numer reklamacji] -3</w:t>
      </w:r>
    </w:p>
    <w:p w14:paraId="4CF8265A" w14:textId="22E67178" w:rsidR="00A86613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Potwierdzenie efektywności działań.</w:t>
      </w:r>
    </w:p>
    <w:p w14:paraId="7D9BBFAA" w14:textId="4D691C88" w:rsidR="0068221B" w:rsidRPr="00A86613" w:rsidRDefault="0068221B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Wprowadzone działania uważa się za efektywne, a cykl za zakończony, gdy ostatni audyt w cyklu został przeprowadzony z oceną pozytywną. Jeżeli ocena będzie negatywna, należy zweryfikować </w:t>
      </w:r>
      <w:r>
        <w:rPr>
          <w:rFonts w:cstheme="minorHAnsi"/>
        </w:rPr>
        <w:lastRenderedPageBreak/>
        <w:t>plan wprowadzonych działań, a po wprowadzeniu stosownych poprawek, ocenę efektywności należy przeprowadzić od początku.</w:t>
      </w:r>
    </w:p>
    <w:p w14:paraId="66E42F3F" w14:textId="75A9BB53" w:rsidR="00A86613" w:rsidRP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</w:p>
    <w:p w14:paraId="44680FBC" w14:textId="77777777" w:rsidR="00A86613" w:rsidRPr="0068221B" w:rsidRDefault="00A86613" w:rsidP="0068221B">
      <w:pPr>
        <w:spacing w:after="0" w:line="240" w:lineRule="auto"/>
        <w:rPr>
          <w:rFonts w:cstheme="minorHAnsi"/>
        </w:rPr>
      </w:pPr>
    </w:p>
    <w:p w14:paraId="1EC86CA2" w14:textId="77777777" w:rsidR="00131D05" w:rsidRPr="00C00734" w:rsidRDefault="00131D05" w:rsidP="00131D05">
      <w:pPr>
        <w:spacing w:after="0" w:line="240" w:lineRule="auto"/>
        <w:rPr>
          <w:rFonts w:cstheme="minorHAnsi"/>
          <w:sz w:val="16"/>
          <w:szCs w:val="16"/>
        </w:rPr>
      </w:pPr>
    </w:p>
    <w:sectPr w:rsidR="00131D05" w:rsidRPr="00C00734" w:rsidSect="00094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A167" w14:textId="77777777" w:rsidR="00C62FB4" w:rsidRDefault="00C62FB4" w:rsidP="005E6979">
      <w:pPr>
        <w:spacing w:after="0" w:line="240" w:lineRule="auto"/>
      </w:pPr>
      <w:r>
        <w:separator/>
      </w:r>
    </w:p>
  </w:endnote>
  <w:endnote w:type="continuationSeparator" w:id="0">
    <w:p w14:paraId="316E0029" w14:textId="77777777" w:rsidR="00C62FB4" w:rsidRDefault="00C62FB4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115" w14:textId="77777777" w:rsidR="005972BE" w:rsidRDefault="00597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BE4" w14:textId="77777777" w:rsidR="008E133A" w:rsidRDefault="008E133A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284CEF48" w14:textId="77777777" w:rsidR="008E133A" w:rsidRDefault="008E133A" w:rsidP="006E53C6">
    <w:pPr>
      <w:pStyle w:val="Stopka"/>
      <w:jc w:val="center"/>
      <w:rPr>
        <w:sz w:val="12"/>
      </w:rPr>
    </w:pPr>
  </w:p>
  <w:p w14:paraId="2A8474C0" w14:textId="77777777" w:rsidR="008E133A" w:rsidRPr="006E53C6" w:rsidRDefault="008E133A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367FAA30" w14:textId="77777777" w:rsidR="008E133A" w:rsidRDefault="008E133A" w:rsidP="005E6979">
    <w:pPr>
      <w:pStyle w:val="Stopka"/>
      <w:jc w:val="right"/>
    </w:pPr>
    <w:r>
      <w:rPr>
        <w:noProof/>
      </w:rPr>
      <w:drawing>
        <wp:inline distT="0" distB="0" distL="0" distR="0" wp14:anchorId="35A5B602" wp14:editId="31444BE9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5FAC" w14:textId="77777777" w:rsidR="008E133A" w:rsidRDefault="008E133A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5E2D287E" w14:textId="77777777" w:rsidR="008E133A" w:rsidRPr="006E53C6" w:rsidRDefault="008E133A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05774FE8" w14:textId="77777777" w:rsidR="008E133A" w:rsidRDefault="008E133A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4CD8E4E" wp14:editId="4CD9123D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1CF5" w14:textId="77777777" w:rsidR="00C62FB4" w:rsidRDefault="00C62FB4" w:rsidP="005E6979">
      <w:pPr>
        <w:spacing w:after="0" w:line="240" w:lineRule="auto"/>
      </w:pPr>
      <w:r>
        <w:separator/>
      </w:r>
    </w:p>
  </w:footnote>
  <w:footnote w:type="continuationSeparator" w:id="0">
    <w:p w14:paraId="77CCED14" w14:textId="77777777" w:rsidR="00C62FB4" w:rsidRDefault="00C62FB4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9846" w14:textId="77777777" w:rsidR="005972BE" w:rsidRDefault="00597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E133A" w14:paraId="25FF316E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15DA204D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519E96EB" wp14:editId="4C10A563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6C15ED2E" w14:textId="77777777" w:rsidR="008E133A" w:rsidRPr="006E53C6" w:rsidRDefault="008E133A" w:rsidP="00CF14A8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 xml:space="preserve">: </w:t>
          </w:r>
        </w:p>
      </w:tc>
      <w:tc>
        <w:tcPr>
          <w:tcW w:w="2991" w:type="dxa"/>
          <w:vAlign w:val="center"/>
        </w:tcPr>
        <w:p w14:paraId="2038FB4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450D3035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40D3934B" w14:textId="77777777" w:rsidTr="005754D5">
      <w:trPr>
        <w:trHeight w:val="498"/>
      </w:trPr>
      <w:tc>
        <w:tcPr>
          <w:tcW w:w="2540" w:type="dxa"/>
          <w:vMerge/>
          <w:vAlign w:val="center"/>
        </w:tcPr>
        <w:p w14:paraId="4A180A13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17474ED3" w14:textId="3ED6BF78" w:rsidR="008E133A" w:rsidRDefault="008E133A" w:rsidP="00875A1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0"/>
            </w:rPr>
            <w:t>S01_P07v</w:t>
          </w:r>
          <w:r w:rsidR="00B767DC">
            <w:rPr>
              <w:sz w:val="20"/>
            </w:rPr>
            <w:t>3</w:t>
          </w:r>
        </w:p>
      </w:tc>
      <w:sdt>
        <w:sdtPr>
          <w:rPr>
            <w:sz w:val="20"/>
          </w:rPr>
          <w:alias w:val="Stan"/>
          <w:tag w:val=""/>
          <w:id w:val="27998013"/>
          <w:placeholder>
            <w:docPart w:val="1368B0C8D854428183C8B170925A0C51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5A7B8EA" w14:textId="001E4E55" w:rsidR="008E133A" w:rsidRPr="006E53C6" w:rsidRDefault="005972BE" w:rsidP="003D6A6E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4114A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2E6DAE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3</w:t>
          </w:r>
          <w:r w:rsidRPr="006E53C6">
            <w:rPr>
              <w:sz w:val="20"/>
            </w:rPr>
            <w:fldChar w:fldCharType="end"/>
          </w:r>
        </w:p>
      </w:tc>
    </w:tr>
    <w:tr w:rsidR="008E133A" w14:paraId="59F36299" w14:textId="77777777" w:rsidTr="008E133A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FC679A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4C364B4B" w14:textId="77777777" w:rsidR="008E133A" w:rsidRPr="00B4398B" w:rsidRDefault="008E133A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24"/>
              <w:szCs w:val="24"/>
            </w:rPr>
            <w:t>Audit</w:t>
          </w:r>
          <w:proofErr w:type="spellEnd"/>
          <w:r>
            <w:rPr>
              <w:sz w:val="24"/>
              <w:szCs w:val="24"/>
            </w:rPr>
            <w:t xml:space="preserve"> wewnętrzny</w:t>
          </w:r>
        </w:p>
      </w:tc>
    </w:tr>
  </w:tbl>
  <w:p w14:paraId="691A6610" w14:textId="77777777" w:rsidR="008E133A" w:rsidRPr="000948F0" w:rsidRDefault="008E133A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>
      <w:rPr>
        <w:rFonts w:cs="Calibri"/>
        <w:sz w:val="16"/>
        <w:szCs w:val="16"/>
      </w:rPr>
      <w:t>A01_P02_F01v1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8E133A" w14:paraId="42305DA2" w14:textId="77777777" w:rsidTr="005754D5">
      <w:trPr>
        <w:trHeight w:val="340"/>
      </w:trPr>
      <w:tc>
        <w:tcPr>
          <w:tcW w:w="2526" w:type="dxa"/>
          <w:vMerge w:val="restart"/>
          <w:vAlign w:val="center"/>
        </w:tcPr>
        <w:p w14:paraId="4CF6607F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2420F3AD" wp14:editId="1F30F90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22E0D0D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25B78BE3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0D7E5285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0ED36EA0" w14:textId="77777777" w:rsidTr="005754D5">
      <w:trPr>
        <w:trHeight w:val="340"/>
      </w:trPr>
      <w:tc>
        <w:tcPr>
          <w:tcW w:w="2526" w:type="dxa"/>
          <w:vMerge/>
          <w:vAlign w:val="center"/>
        </w:tcPr>
        <w:p w14:paraId="5484D4DC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06E6E0EE" w14:textId="77777777" w:rsidR="008E133A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Pxx.Ixx.Zxx.yy</w:t>
          </w:r>
          <w:proofErr w:type="spellEnd"/>
        </w:p>
      </w:tc>
      <w:tc>
        <w:tcPr>
          <w:tcW w:w="2410" w:type="dxa"/>
          <w:vAlign w:val="center"/>
        </w:tcPr>
        <w:p w14:paraId="624FB83E" w14:textId="77777777" w:rsidR="008E133A" w:rsidRPr="006E53C6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275BFB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8E133A" w14:paraId="7B6F2F4D" w14:textId="77777777" w:rsidTr="005754D5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6047A1E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3719FF98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37688F1" w14:textId="77777777" w:rsidR="008E133A" w:rsidRPr="0034587B" w:rsidRDefault="008E133A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8C3"/>
    <w:multiLevelType w:val="hybridMultilevel"/>
    <w:tmpl w:val="7FCC1F22"/>
    <w:lvl w:ilvl="0" w:tplc="9AB21C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71A66E3"/>
    <w:multiLevelType w:val="hybridMultilevel"/>
    <w:tmpl w:val="D21C29B2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29D1C01"/>
    <w:multiLevelType w:val="hybridMultilevel"/>
    <w:tmpl w:val="3954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1CA9"/>
    <w:multiLevelType w:val="hybridMultilevel"/>
    <w:tmpl w:val="139A81F2"/>
    <w:lvl w:ilvl="0" w:tplc="3B94FBEE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582084"/>
    <w:multiLevelType w:val="hybridMultilevel"/>
    <w:tmpl w:val="50765356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7DC0936"/>
    <w:multiLevelType w:val="hybridMultilevel"/>
    <w:tmpl w:val="390849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615"/>
    <w:multiLevelType w:val="hybridMultilevel"/>
    <w:tmpl w:val="FC18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13"/>
    <w:multiLevelType w:val="multilevel"/>
    <w:tmpl w:val="0809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4D185A93"/>
    <w:multiLevelType w:val="hybridMultilevel"/>
    <w:tmpl w:val="1750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4049C"/>
    <w:multiLevelType w:val="hybridMultilevel"/>
    <w:tmpl w:val="607AA82E"/>
    <w:lvl w:ilvl="0" w:tplc="539A8C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680FE8"/>
    <w:multiLevelType w:val="hybridMultilevel"/>
    <w:tmpl w:val="F732C0B0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54F38F8"/>
    <w:multiLevelType w:val="hybridMultilevel"/>
    <w:tmpl w:val="91BAFE7A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9D7275"/>
    <w:multiLevelType w:val="hybridMultilevel"/>
    <w:tmpl w:val="2188C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79717">
    <w:abstractNumId w:val="2"/>
  </w:num>
  <w:num w:numId="2" w16cid:durableId="685448355">
    <w:abstractNumId w:val="9"/>
  </w:num>
  <w:num w:numId="3" w16cid:durableId="93793678">
    <w:abstractNumId w:val="8"/>
  </w:num>
  <w:num w:numId="4" w16cid:durableId="1539202466">
    <w:abstractNumId w:val="6"/>
  </w:num>
  <w:num w:numId="5" w16cid:durableId="1479149339">
    <w:abstractNumId w:val="5"/>
  </w:num>
  <w:num w:numId="6" w16cid:durableId="1112432964">
    <w:abstractNumId w:val="11"/>
  </w:num>
  <w:num w:numId="7" w16cid:durableId="890071182">
    <w:abstractNumId w:val="10"/>
  </w:num>
  <w:num w:numId="8" w16cid:durableId="471872831">
    <w:abstractNumId w:val="0"/>
  </w:num>
  <w:num w:numId="9" w16cid:durableId="242225647">
    <w:abstractNumId w:val="13"/>
  </w:num>
  <w:num w:numId="10" w16cid:durableId="993220989">
    <w:abstractNumId w:val="3"/>
  </w:num>
  <w:num w:numId="11" w16cid:durableId="208492761">
    <w:abstractNumId w:val="7"/>
  </w:num>
  <w:num w:numId="12" w16cid:durableId="812991383">
    <w:abstractNumId w:val="4"/>
  </w:num>
  <w:num w:numId="13" w16cid:durableId="958023694">
    <w:abstractNumId w:val="12"/>
  </w:num>
  <w:num w:numId="14" w16cid:durableId="19431511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251E6"/>
    <w:rsid w:val="00033D2C"/>
    <w:rsid w:val="00036914"/>
    <w:rsid w:val="0003695D"/>
    <w:rsid w:val="000424C5"/>
    <w:rsid w:val="00047D1E"/>
    <w:rsid w:val="00050A5A"/>
    <w:rsid w:val="00053D91"/>
    <w:rsid w:val="00063034"/>
    <w:rsid w:val="00072581"/>
    <w:rsid w:val="00086CF3"/>
    <w:rsid w:val="0009414B"/>
    <w:rsid w:val="000948F0"/>
    <w:rsid w:val="00095DD6"/>
    <w:rsid w:val="000A14D3"/>
    <w:rsid w:val="000B263B"/>
    <w:rsid w:val="000B2DCF"/>
    <w:rsid w:val="000C5923"/>
    <w:rsid w:val="000E59F7"/>
    <w:rsid w:val="000E6638"/>
    <w:rsid w:val="000F3F6A"/>
    <w:rsid w:val="000F6612"/>
    <w:rsid w:val="00100938"/>
    <w:rsid w:val="00107A38"/>
    <w:rsid w:val="00112B23"/>
    <w:rsid w:val="0012695C"/>
    <w:rsid w:val="00131D05"/>
    <w:rsid w:val="00133C21"/>
    <w:rsid w:val="001352D4"/>
    <w:rsid w:val="0013565F"/>
    <w:rsid w:val="00136F32"/>
    <w:rsid w:val="00142B2E"/>
    <w:rsid w:val="00143784"/>
    <w:rsid w:val="001476C9"/>
    <w:rsid w:val="00156267"/>
    <w:rsid w:val="00156C6A"/>
    <w:rsid w:val="00165C53"/>
    <w:rsid w:val="00171102"/>
    <w:rsid w:val="00171409"/>
    <w:rsid w:val="0018586E"/>
    <w:rsid w:val="0019258A"/>
    <w:rsid w:val="001930B8"/>
    <w:rsid w:val="00193217"/>
    <w:rsid w:val="00194D1C"/>
    <w:rsid w:val="001A52B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6208"/>
    <w:rsid w:val="002308CF"/>
    <w:rsid w:val="002327BC"/>
    <w:rsid w:val="00233FCF"/>
    <w:rsid w:val="00241692"/>
    <w:rsid w:val="00242827"/>
    <w:rsid w:val="002473C7"/>
    <w:rsid w:val="00252AA4"/>
    <w:rsid w:val="00261085"/>
    <w:rsid w:val="0026559C"/>
    <w:rsid w:val="0027104E"/>
    <w:rsid w:val="002748C8"/>
    <w:rsid w:val="00285276"/>
    <w:rsid w:val="00294265"/>
    <w:rsid w:val="00294467"/>
    <w:rsid w:val="002D1ADB"/>
    <w:rsid w:val="002D352D"/>
    <w:rsid w:val="002D5749"/>
    <w:rsid w:val="002D7C2D"/>
    <w:rsid w:val="002F1487"/>
    <w:rsid w:val="002F3B38"/>
    <w:rsid w:val="00305C0E"/>
    <w:rsid w:val="00317604"/>
    <w:rsid w:val="00333D7A"/>
    <w:rsid w:val="00340A92"/>
    <w:rsid w:val="00341916"/>
    <w:rsid w:val="0034587B"/>
    <w:rsid w:val="003562F6"/>
    <w:rsid w:val="00361786"/>
    <w:rsid w:val="003627AD"/>
    <w:rsid w:val="00364039"/>
    <w:rsid w:val="00374407"/>
    <w:rsid w:val="00383C6B"/>
    <w:rsid w:val="0038684B"/>
    <w:rsid w:val="0038727B"/>
    <w:rsid w:val="003930E4"/>
    <w:rsid w:val="003A12F4"/>
    <w:rsid w:val="003A3FAA"/>
    <w:rsid w:val="003A6AE5"/>
    <w:rsid w:val="003B6176"/>
    <w:rsid w:val="003B7F79"/>
    <w:rsid w:val="003C0111"/>
    <w:rsid w:val="003C7F11"/>
    <w:rsid w:val="003D4C70"/>
    <w:rsid w:val="003D5B1D"/>
    <w:rsid w:val="003D6A6E"/>
    <w:rsid w:val="003D74CD"/>
    <w:rsid w:val="003E1AF3"/>
    <w:rsid w:val="003E3597"/>
    <w:rsid w:val="003E3696"/>
    <w:rsid w:val="003E5740"/>
    <w:rsid w:val="003E5C4E"/>
    <w:rsid w:val="003F3D76"/>
    <w:rsid w:val="004071DE"/>
    <w:rsid w:val="00410795"/>
    <w:rsid w:val="004112AE"/>
    <w:rsid w:val="00422001"/>
    <w:rsid w:val="004251E6"/>
    <w:rsid w:val="004365EB"/>
    <w:rsid w:val="004423DF"/>
    <w:rsid w:val="00444560"/>
    <w:rsid w:val="00444ABF"/>
    <w:rsid w:val="004529FB"/>
    <w:rsid w:val="004550AF"/>
    <w:rsid w:val="00455B53"/>
    <w:rsid w:val="00457016"/>
    <w:rsid w:val="00457173"/>
    <w:rsid w:val="00457D49"/>
    <w:rsid w:val="00475F89"/>
    <w:rsid w:val="00494667"/>
    <w:rsid w:val="00496BFF"/>
    <w:rsid w:val="004A4F54"/>
    <w:rsid w:val="004B3595"/>
    <w:rsid w:val="004B4746"/>
    <w:rsid w:val="004C1B00"/>
    <w:rsid w:val="004C3B15"/>
    <w:rsid w:val="004C7E4B"/>
    <w:rsid w:val="004D09D5"/>
    <w:rsid w:val="004D505E"/>
    <w:rsid w:val="004F2034"/>
    <w:rsid w:val="004F4588"/>
    <w:rsid w:val="0050487F"/>
    <w:rsid w:val="0050621F"/>
    <w:rsid w:val="00520999"/>
    <w:rsid w:val="0053339F"/>
    <w:rsid w:val="00536775"/>
    <w:rsid w:val="0055471E"/>
    <w:rsid w:val="00557588"/>
    <w:rsid w:val="00560349"/>
    <w:rsid w:val="005754D5"/>
    <w:rsid w:val="0058033B"/>
    <w:rsid w:val="00580C38"/>
    <w:rsid w:val="00590EF9"/>
    <w:rsid w:val="00596D54"/>
    <w:rsid w:val="005972BE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239"/>
    <w:rsid w:val="00611DA3"/>
    <w:rsid w:val="00621D6B"/>
    <w:rsid w:val="00625017"/>
    <w:rsid w:val="0062617A"/>
    <w:rsid w:val="00630E48"/>
    <w:rsid w:val="006338DE"/>
    <w:rsid w:val="00647E8E"/>
    <w:rsid w:val="00654790"/>
    <w:rsid w:val="00663994"/>
    <w:rsid w:val="00663B48"/>
    <w:rsid w:val="0068221B"/>
    <w:rsid w:val="006831E1"/>
    <w:rsid w:val="00686AD3"/>
    <w:rsid w:val="00687B8A"/>
    <w:rsid w:val="006B6426"/>
    <w:rsid w:val="006B6791"/>
    <w:rsid w:val="006C0B76"/>
    <w:rsid w:val="006C535F"/>
    <w:rsid w:val="006C5BCC"/>
    <w:rsid w:val="006C62F9"/>
    <w:rsid w:val="006D6C75"/>
    <w:rsid w:val="006E53C6"/>
    <w:rsid w:val="006E7CA4"/>
    <w:rsid w:val="006F076E"/>
    <w:rsid w:val="006F7152"/>
    <w:rsid w:val="006F71C7"/>
    <w:rsid w:val="00711A9F"/>
    <w:rsid w:val="00712418"/>
    <w:rsid w:val="007161CF"/>
    <w:rsid w:val="00723994"/>
    <w:rsid w:val="00723C7E"/>
    <w:rsid w:val="0073581D"/>
    <w:rsid w:val="00736049"/>
    <w:rsid w:val="00736881"/>
    <w:rsid w:val="0074250D"/>
    <w:rsid w:val="007463DE"/>
    <w:rsid w:val="00753A13"/>
    <w:rsid w:val="0075663C"/>
    <w:rsid w:val="007642DE"/>
    <w:rsid w:val="00771FDE"/>
    <w:rsid w:val="007721BF"/>
    <w:rsid w:val="00776672"/>
    <w:rsid w:val="00777DDD"/>
    <w:rsid w:val="0078449B"/>
    <w:rsid w:val="007854AB"/>
    <w:rsid w:val="007960C2"/>
    <w:rsid w:val="007960D4"/>
    <w:rsid w:val="00796448"/>
    <w:rsid w:val="007A11F5"/>
    <w:rsid w:val="007A1697"/>
    <w:rsid w:val="007A1873"/>
    <w:rsid w:val="007B6BEE"/>
    <w:rsid w:val="007C1CFC"/>
    <w:rsid w:val="007C4E85"/>
    <w:rsid w:val="007D28A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45A9F"/>
    <w:rsid w:val="00853C6B"/>
    <w:rsid w:val="00872714"/>
    <w:rsid w:val="00875A12"/>
    <w:rsid w:val="00877465"/>
    <w:rsid w:val="00890030"/>
    <w:rsid w:val="00892637"/>
    <w:rsid w:val="008A2129"/>
    <w:rsid w:val="008A45E2"/>
    <w:rsid w:val="008B2997"/>
    <w:rsid w:val="008C3E12"/>
    <w:rsid w:val="008D6B23"/>
    <w:rsid w:val="008E133A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179B1"/>
    <w:rsid w:val="009322D4"/>
    <w:rsid w:val="00932B52"/>
    <w:rsid w:val="00932F2B"/>
    <w:rsid w:val="009403A9"/>
    <w:rsid w:val="009419C9"/>
    <w:rsid w:val="00952D6F"/>
    <w:rsid w:val="009573F8"/>
    <w:rsid w:val="0099305C"/>
    <w:rsid w:val="00996943"/>
    <w:rsid w:val="009A7821"/>
    <w:rsid w:val="009B4DAE"/>
    <w:rsid w:val="009B638F"/>
    <w:rsid w:val="009C2EBB"/>
    <w:rsid w:val="009D4420"/>
    <w:rsid w:val="009E29E5"/>
    <w:rsid w:val="009E3726"/>
    <w:rsid w:val="009E6048"/>
    <w:rsid w:val="009F3E69"/>
    <w:rsid w:val="009F42EC"/>
    <w:rsid w:val="009F53DD"/>
    <w:rsid w:val="00A04606"/>
    <w:rsid w:val="00A1299F"/>
    <w:rsid w:val="00A156A3"/>
    <w:rsid w:val="00A156E9"/>
    <w:rsid w:val="00A34427"/>
    <w:rsid w:val="00A40908"/>
    <w:rsid w:val="00A414A7"/>
    <w:rsid w:val="00A462C0"/>
    <w:rsid w:val="00A54D1D"/>
    <w:rsid w:val="00A56C2D"/>
    <w:rsid w:val="00A57078"/>
    <w:rsid w:val="00A64674"/>
    <w:rsid w:val="00A6490D"/>
    <w:rsid w:val="00A64FC9"/>
    <w:rsid w:val="00A70B4F"/>
    <w:rsid w:val="00A73AD2"/>
    <w:rsid w:val="00A757BE"/>
    <w:rsid w:val="00A80C3E"/>
    <w:rsid w:val="00A81DCD"/>
    <w:rsid w:val="00A86613"/>
    <w:rsid w:val="00A878CC"/>
    <w:rsid w:val="00A90E95"/>
    <w:rsid w:val="00AA2AAC"/>
    <w:rsid w:val="00AC4867"/>
    <w:rsid w:val="00AC7158"/>
    <w:rsid w:val="00AD7947"/>
    <w:rsid w:val="00AE5163"/>
    <w:rsid w:val="00AF1334"/>
    <w:rsid w:val="00AF1C7F"/>
    <w:rsid w:val="00AF3A99"/>
    <w:rsid w:val="00AF6BD3"/>
    <w:rsid w:val="00B13216"/>
    <w:rsid w:val="00B16303"/>
    <w:rsid w:val="00B21C18"/>
    <w:rsid w:val="00B277CF"/>
    <w:rsid w:val="00B3142A"/>
    <w:rsid w:val="00B314BC"/>
    <w:rsid w:val="00B37125"/>
    <w:rsid w:val="00B40DB2"/>
    <w:rsid w:val="00B41703"/>
    <w:rsid w:val="00B4398B"/>
    <w:rsid w:val="00B450AE"/>
    <w:rsid w:val="00B50677"/>
    <w:rsid w:val="00B75899"/>
    <w:rsid w:val="00B767DC"/>
    <w:rsid w:val="00B90FEA"/>
    <w:rsid w:val="00B93756"/>
    <w:rsid w:val="00B97922"/>
    <w:rsid w:val="00BA6FFD"/>
    <w:rsid w:val="00BA7F02"/>
    <w:rsid w:val="00BB5347"/>
    <w:rsid w:val="00BC3C26"/>
    <w:rsid w:val="00BC5755"/>
    <w:rsid w:val="00BE1B14"/>
    <w:rsid w:val="00BF05E9"/>
    <w:rsid w:val="00BF40BA"/>
    <w:rsid w:val="00BF6DFC"/>
    <w:rsid w:val="00BF7884"/>
    <w:rsid w:val="00C00734"/>
    <w:rsid w:val="00C01768"/>
    <w:rsid w:val="00C3518A"/>
    <w:rsid w:val="00C358B4"/>
    <w:rsid w:val="00C46DFF"/>
    <w:rsid w:val="00C501AA"/>
    <w:rsid w:val="00C51606"/>
    <w:rsid w:val="00C550F6"/>
    <w:rsid w:val="00C56D58"/>
    <w:rsid w:val="00C60DFA"/>
    <w:rsid w:val="00C62FB4"/>
    <w:rsid w:val="00C654DB"/>
    <w:rsid w:val="00C71161"/>
    <w:rsid w:val="00C74B9D"/>
    <w:rsid w:val="00C94435"/>
    <w:rsid w:val="00CA7A68"/>
    <w:rsid w:val="00CB1042"/>
    <w:rsid w:val="00CB510F"/>
    <w:rsid w:val="00CB75AE"/>
    <w:rsid w:val="00CC16F1"/>
    <w:rsid w:val="00CD5513"/>
    <w:rsid w:val="00CE0BA0"/>
    <w:rsid w:val="00CE2693"/>
    <w:rsid w:val="00CF14A8"/>
    <w:rsid w:val="00D004D5"/>
    <w:rsid w:val="00D165D5"/>
    <w:rsid w:val="00D2281B"/>
    <w:rsid w:val="00D22D65"/>
    <w:rsid w:val="00D22FE6"/>
    <w:rsid w:val="00D249CF"/>
    <w:rsid w:val="00D57F7A"/>
    <w:rsid w:val="00D82ED6"/>
    <w:rsid w:val="00D84569"/>
    <w:rsid w:val="00DA5358"/>
    <w:rsid w:val="00DA64F1"/>
    <w:rsid w:val="00DC22E4"/>
    <w:rsid w:val="00DD200D"/>
    <w:rsid w:val="00DD4763"/>
    <w:rsid w:val="00DD6855"/>
    <w:rsid w:val="00DF6615"/>
    <w:rsid w:val="00DF7918"/>
    <w:rsid w:val="00E109DD"/>
    <w:rsid w:val="00E130F3"/>
    <w:rsid w:val="00E22622"/>
    <w:rsid w:val="00E3387E"/>
    <w:rsid w:val="00E40C2C"/>
    <w:rsid w:val="00E40E8A"/>
    <w:rsid w:val="00E43A25"/>
    <w:rsid w:val="00E4685E"/>
    <w:rsid w:val="00E521DC"/>
    <w:rsid w:val="00E543D1"/>
    <w:rsid w:val="00E5787B"/>
    <w:rsid w:val="00E6014A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BF1"/>
    <w:rsid w:val="00EB4E65"/>
    <w:rsid w:val="00EC4626"/>
    <w:rsid w:val="00EC585B"/>
    <w:rsid w:val="00ED50EE"/>
    <w:rsid w:val="00F07DD1"/>
    <w:rsid w:val="00F1596F"/>
    <w:rsid w:val="00F16370"/>
    <w:rsid w:val="00F21B40"/>
    <w:rsid w:val="00F30E85"/>
    <w:rsid w:val="00F34CF8"/>
    <w:rsid w:val="00F46589"/>
    <w:rsid w:val="00F50AA6"/>
    <w:rsid w:val="00F52E66"/>
    <w:rsid w:val="00F625CF"/>
    <w:rsid w:val="00F62913"/>
    <w:rsid w:val="00F644E7"/>
    <w:rsid w:val="00F7367E"/>
    <w:rsid w:val="00F746E4"/>
    <w:rsid w:val="00F871EB"/>
    <w:rsid w:val="00F9498D"/>
    <w:rsid w:val="00F95070"/>
    <w:rsid w:val="00F9714F"/>
    <w:rsid w:val="00FA035C"/>
    <w:rsid w:val="00FA49FB"/>
    <w:rsid w:val="00FA6B28"/>
    <w:rsid w:val="00FC4E80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198B"/>
  <w15:docId w15:val="{65D879D6-63AE-45E6-84C0-C1868E45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4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72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68B0C8D854428183C8B170925A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51B5A-37F0-4A1C-96CF-19B2728B6310}"/>
      </w:docPartPr>
      <w:docPartBody>
        <w:p w:rsidR="00000000" w:rsidRDefault="004C2B1F">
          <w:r w:rsidRPr="004114A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1F"/>
    <w:rsid w:val="001D276D"/>
    <w:rsid w:val="002F3B38"/>
    <w:rsid w:val="004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1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4C2B1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2B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3655-9FCA-4B90-BC47-8804605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13</cp:revision>
  <cp:lastPrinted>2021-12-15T13:04:00Z</cp:lastPrinted>
  <dcterms:created xsi:type="dcterms:W3CDTF">2021-12-13T14:05:00Z</dcterms:created>
  <dcterms:modified xsi:type="dcterms:W3CDTF">2025-04-29T08:13:00Z</dcterms:modified>
  <cp:keywords>KPv1</cp:keywords>
  <cp:contentStatus>2025-05-15</cp:contentStatus>
</cp:coreProperties>
</file>